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bin" ContentType="application/vnd.openxmlformats-officedocument.oleObject"/>
  <Default Extension="pn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2F7530" w14:textId="77777777" w:rsidR="00D95962" w:rsidRDefault="00851373" w:rsidP="00A446C9">
      <w:pPr>
        <w:pStyle w:val="BodyText"/>
      </w:pPr>
      <w:r>
        <w:t>EEP</w:t>
      </w:r>
      <w:r w:rsidR="00990B2C">
        <w:t>18</w:t>
      </w:r>
      <w:r w:rsidR="00990B2C">
        <w:tab/>
      </w:r>
      <w:r w:rsidR="00990B2C">
        <w:tab/>
      </w:r>
      <w:r w:rsidR="001C44A3">
        <w:t xml:space="preserve">  Input paper</w:t>
      </w:r>
    </w:p>
    <w:p w14:paraId="38AFB005" w14:textId="77777777" w:rsidR="00A446C9" w:rsidRDefault="00A446C9" w:rsidP="00362CD9">
      <w:pPr>
        <w:pStyle w:val="BodyText"/>
        <w:tabs>
          <w:tab w:val="left" w:pos="1701"/>
        </w:tabs>
      </w:pPr>
      <w:r>
        <w:t>Agenda item</w:t>
      </w:r>
      <w:r w:rsidR="00990B2C">
        <w:tab/>
        <w:t>11.1</w:t>
      </w:r>
    </w:p>
    <w:p w14:paraId="470073C7" w14:textId="77777777" w:rsidR="00A446C9" w:rsidRDefault="00A446C9" w:rsidP="00362CD9">
      <w:pPr>
        <w:pStyle w:val="BodyText"/>
        <w:tabs>
          <w:tab w:val="left" w:pos="1701"/>
        </w:tabs>
      </w:pPr>
      <w:r>
        <w:t>Task Number</w:t>
      </w:r>
      <w:r w:rsidR="001C44A3">
        <w:tab/>
      </w:r>
      <w:r w:rsidR="00990B2C">
        <w:t>2</w:t>
      </w:r>
    </w:p>
    <w:p w14:paraId="77666977" w14:textId="77777777" w:rsidR="00362CD9" w:rsidRDefault="00990B2C" w:rsidP="00362CD9">
      <w:pPr>
        <w:pStyle w:val="BodyText"/>
        <w:tabs>
          <w:tab w:val="left" w:pos="1701"/>
        </w:tabs>
      </w:pPr>
      <w:r>
        <w:t>Author</w:t>
      </w:r>
      <w:r w:rsidR="00362CD9">
        <w:tab/>
      </w:r>
      <w:r>
        <w:t>M. Nicholson</w:t>
      </w:r>
    </w:p>
    <w:p w14:paraId="2EE8E1B5" w14:textId="77777777" w:rsidR="00A446C9" w:rsidRDefault="00990B2C" w:rsidP="00A446C9">
      <w:pPr>
        <w:pStyle w:val="Title"/>
      </w:pPr>
      <w:r>
        <w:t>Amendment to IALA Guideline 1041 on Sector Lights</w:t>
      </w:r>
    </w:p>
    <w:p w14:paraId="3727B0C0" w14:textId="77777777" w:rsidR="00A446C9" w:rsidRDefault="00A446C9" w:rsidP="00A446C9">
      <w:pPr>
        <w:pStyle w:val="Heading1"/>
      </w:pPr>
      <w:r>
        <w:t>Summary</w:t>
      </w:r>
      <w:r w:rsidR="00990B2C">
        <w:t xml:space="preserve"> </w:t>
      </w:r>
    </w:p>
    <w:p w14:paraId="08B480FB" w14:textId="77777777" w:rsidR="00990B2C" w:rsidRPr="00990B2C" w:rsidRDefault="00990B2C" w:rsidP="00990B2C">
      <w:pPr>
        <w:pStyle w:val="BodyText"/>
        <w:rPr>
          <w:lang w:eastAsia="de-DE"/>
        </w:rPr>
      </w:pPr>
      <w:r>
        <w:rPr>
          <w:lang w:eastAsia="de-DE"/>
        </w:rPr>
        <w:t xml:space="preserve">At EEP17 the author was </w:t>
      </w:r>
      <w:r w:rsidR="000C79D4">
        <w:rPr>
          <w:lang w:eastAsia="de-DE"/>
        </w:rPr>
        <w:t>given an action</w:t>
      </w:r>
      <w:r>
        <w:rPr>
          <w:lang w:eastAsia="de-DE"/>
        </w:rPr>
        <w:t xml:space="preserve"> </w:t>
      </w:r>
      <w:r w:rsidR="000C79D4">
        <w:rPr>
          <w:lang w:eastAsia="de-DE"/>
        </w:rPr>
        <w:t xml:space="preserve">(95) </w:t>
      </w:r>
      <w:r>
        <w:rPr>
          <w:lang w:eastAsia="de-DE"/>
        </w:rPr>
        <w:t>to review the Recommendations and Guidelines that have been produced by the EEP Committee’s WG4 Light and Vision (Reference EEP18/11/1).</w:t>
      </w:r>
      <w:r w:rsidR="000C79D4">
        <w:rPr>
          <w:lang w:eastAsia="de-DE"/>
        </w:rPr>
        <w:t xml:space="preserve"> As a result of the review</w:t>
      </w:r>
      <w:r w:rsidR="001A702A">
        <w:rPr>
          <w:lang w:eastAsia="de-DE"/>
        </w:rPr>
        <w:t>,</w:t>
      </w:r>
      <w:r w:rsidR="000C79D4">
        <w:rPr>
          <w:lang w:eastAsia="de-DE"/>
        </w:rPr>
        <w:t xml:space="preserve"> </w:t>
      </w:r>
      <w:r w:rsidR="001A702A">
        <w:rPr>
          <w:lang w:eastAsia="de-DE"/>
        </w:rPr>
        <w:t>section 5.4 of the above mentioned guideline requires expanding.</w:t>
      </w:r>
      <w:r w:rsidR="000C79D4">
        <w:rPr>
          <w:lang w:eastAsia="de-DE"/>
        </w:rPr>
        <w:t xml:space="preserve"> </w:t>
      </w:r>
    </w:p>
    <w:p w14:paraId="0FC4DEC0" w14:textId="77777777" w:rsidR="001C44A3" w:rsidRDefault="00B56BDF" w:rsidP="00B56BDF">
      <w:pPr>
        <w:pStyle w:val="Heading2"/>
      </w:pPr>
      <w:r>
        <w:t>A</w:t>
      </w:r>
      <w:r w:rsidR="001C44A3">
        <w:t xml:space="preserve">ction </w:t>
      </w:r>
      <w:r w:rsidR="004D1D85">
        <w:t>aris</w:t>
      </w:r>
      <w:r w:rsidR="00E55927">
        <w:t>ing</w:t>
      </w:r>
      <w:r w:rsidR="004D1D85">
        <w:t xml:space="preserve"> from the input of the document</w:t>
      </w:r>
      <w:r w:rsidR="001A702A">
        <w:t xml:space="preserve"> </w:t>
      </w:r>
    </w:p>
    <w:p w14:paraId="0EA21CC2" w14:textId="77777777" w:rsidR="00E55927" w:rsidRPr="00B56BDF" w:rsidRDefault="00465D46" w:rsidP="00E55927">
      <w:pPr>
        <w:pStyle w:val="BodyText"/>
      </w:pPr>
      <w:r>
        <w:t>T</w:t>
      </w:r>
      <w:r w:rsidR="001A702A">
        <w:t>he text in 2 for inclusion in section 5.4 of the IALA Guideline 1041 on Sector Lights with a view to issuing Edition 3 as an output paper from EEP18.</w:t>
      </w:r>
    </w:p>
    <w:p w14:paraId="7C35EA02" w14:textId="77777777" w:rsidR="00A446C9" w:rsidRDefault="001A702A" w:rsidP="00A446C9">
      <w:pPr>
        <w:pStyle w:val="Heading1"/>
      </w:pPr>
      <w:r>
        <w:t>adittional text to section 5.4 of Guideline 1041</w:t>
      </w:r>
    </w:p>
    <w:p w14:paraId="3B5F3D06" w14:textId="77777777" w:rsidR="00936AF9" w:rsidRDefault="00936AF9" w:rsidP="00936AF9">
      <w:pPr>
        <w:pStyle w:val="Heading2"/>
        <w:keepNext/>
        <w:tabs>
          <w:tab w:val="clear" w:pos="851"/>
          <w:tab w:val="num" w:pos="576"/>
        </w:tabs>
        <w:spacing w:before="240"/>
        <w:ind w:left="576" w:hanging="576"/>
        <w:jc w:val="both"/>
      </w:pPr>
      <w:bookmarkStart w:id="0" w:name="_Toc276714438"/>
      <w:r>
        <w:t>Measurement</w:t>
      </w:r>
      <w:bookmarkEnd w:id="0"/>
    </w:p>
    <w:p w14:paraId="4FB4D10B" w14:textId="77777777" w:rsidR="00936AF9" w:rsidRDefault="00936AF9" w:rsidP="00936AF9">
      <w:r>
        <w:t xml:space="preserve">The measurement of a stand-alone marine AtoN omnidirectional sector light is best carried out by using a technique called gonio-spectroradiometry. This is described in detail in IALA recommendation E200-3 </w:t>
      </w:r>
      <w:r w:rsidR="00465D46">
        <w:t>[x</w:t>
      </w:r>
      <w:r w:rsidRPr="005D47F3">
        <w:t>]</w:t>
      </w:r>
      <w:r>
        <w:t xml:space="preserve"> but will be briefly described here. Essentially, it is a method of measuring the colour of a light against a horizontal, or azimuthal, angle of rotation.</w:t>
      </w:r>
    </w:p>
    <w:p w14:paraId="66C45FDF" w14:textId="77777777" w:rsidR="00936AF9" w:rsidRDefault="00936AF9" w:rsidP="00936AF9">
      <w:pPr>
        <w:pStyle w:val="Heading3"/>
        <w:tabs>
          <w:tab w:val="clear" w:pos="992"/>
          <w:tab w:val="num" w:pos="720"/>
        </w:tabs>
        <w:spacing w:before="240" w:after="60"/>
        <w:ind w:left="720" w:hanging="720"/>
      </w:pPr>
      <w:r>
        <w:t>Measurement Equipment</w:t>
      </w:r>
    </w:p>
    <w:p w14:paraId="169ED5CA" w14:textId="77777777" w:rsidR="00936AF9" w:rsidRDefault="00936AF9" w:rsidP="00936AF9">
      <w:r>
        <w:t>The measurement equipment comprises a goniometer, which is a device that can tilt or turn the light through measured angles and a spectroradiometer, which is an instrument that can measure the spectral content of a light source.</w:t>
      </w:r>
    </w:p>
    <w:p w14:paraId="667C6FCF" w14:textId="77777777" w:rsidR="00936AF9" w:rsidRDefault="00936AF9" w:rsidP="00936AF9">
      <w:r>
        <w:t xml:space="preserve">The goniometer has an angular scale with the zero or datum in line with the direction of the measuring instrument and its scale is </w:t>
      </w:r>
      <w:r>
        <w:rPr>
          <w:rFonts w:cs="Arial"/>
        </w:rPr>
        <w:t>±</w:t>
      </w:r>
      <w:r>
        <w:t xml:space="preserve">180 degrees in both horizontal and vertical directions as shown in </w:t>
      </w:r>
      <w:r w:rsidRPr="005D47F3">
        <w:t xml:space="preserve">figure </w:t>
      </w:r>
      <w:r>
        <w:t>x</w:t>
      </w:r>
      <w:r w:rsidRPr="005D47F3">
        <w:t>.</w:t>
      </w:r>
    </w:p>
    <w:p w14:paraId="4EDA58B3" w14:textId="77777777" w:rsidR="00936AF9" w:rsidRDefault="00936AF9" w:rsidP="00936AF9">
      <w:pPr>
        <w:keepNext/>
        <w:jc w:val="center"/>
      </w:pPr>
      <w:r>
        <w:rPr>
          <w:noProof/>
          <w:lang w:val="en-US" w:eastAsia="en-US"/>
        </w:rPr>
        <w:drawing>
          <wp:inline distT="0" distB="0" distL="0" distR="0" wp14:anchorId="5362C99F" wp14:editId="0FDDAC9B">
            <wp:extent cx="3474720" cy="1741170"/>
            <wp:effectExtent l="1905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474720" cy="1741170"/>
                    </a:xfrm>
                    <a:prstGeom prst="rect">
                      <a:avLst/>
                    </a:prstGeom>
                    <a:noFill/>
                    <a:ln w="9525">
                      <a:noFill/>
                      <a:miter lim="800000"/>
                      <a:headEnd/>
                      <a:tailEnd/>
                    </a:ln>
                  </pic:spPr>
                </pic:pic>
              </a:graphicData>
            </a:graphic>
          </wp:inline>
        </w:drawing>
      </w:r>
      <w:r>
        <w:t xml:space="preserve"> </w:t>
      </w:r>
    </w:p>
    <w:p w14:paraId="2989B893" w14:textId="77777777" w:rsidR="00936AF9" w:rsidRDefault="00936AF9" w:rsidP="00936AF9">
      <w:pPr>
        <w:pStyle w:val="Caption"/>
      </w:pPr>
      <w:bookmarkStart w:id="1" w:name="_Toc276714447"/>
      <w:r>
        <w:t xml:space="preserve">Figure </w:t>
      </w:r>
      <w:proofErr w:type="gramStart"/>
      <w:r>
        <w:t>x  Goniometer</w:t>
      </w:r>
      <w:proofErr w:type="gramEnd"/>
      <w:r>
        <w:t xml:space="preserve"> Angular Coordinate System</w:t>
      </w:r>
      <w:bookmarkEnd w:id="1"/>
    </w:p>
    <w:p w14:paraId="237AA84F" w14:textId="77777777" w:rsidR="00936AF9" w:rsidRDefault="00936AF9" w:rsidP="00936AF9"/>
    <w:p w14:paraId="3397AE6D" w14:textId="77777777" w:rsidR="00936AF9" w:rsidRDefault="00936AF9" w:rsidP="00936AF9">
      <w:r>
        <w:t>A spectroradiometer gives a measure of the spectral power distribution (SPD) of a light source. It is this distribution of spectral power that determines the colour of the light perceived by the eye.</w:t>
      </w:r>
    </w:p>
    <w:p w14:paraId="5D0B4943" w14:textId="77777777" w:rsidR="00936AF9" w:rsidRDefault="00936AF9" w:rsidP="00936AF9">
      <w:pPr>
        <w:keepNext/>
        <w:jc w:val="center"/>
      </w:pPr>
      <w:r>
        <w:rPr>
          <w:noProof/>
          <w:lang w:val="en-US" w:eastAsia="en-US"/>
        </w:rPr>
        <w:lastRenderedPageBreak/>
        <w:drawing>
          <wp:inline distT="0" distB="0" distL="0" distR="0" wp14:anchorId="4633607E" wp14:editId="3C09A5BA">
            <wp:extent cx="4190365" cy="257619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4190365" cy="2576195"/>
                    </a:xfrm>
                    <a:prstGeom prst="rect">
                      <a:avLst/>
                    </a:prstGeom>
                    <a:noFill/>
                    <a:ln w="9525">
                      <a:noFill/>
                      <a:miter lim="800000"/>
                      <a:headEnd/>
                      <a:tailEnd/>
                    </a:ln>
                  </pic:spPr>
                </pic:pic>
              </a:graphicData>
            </a:graphic>
          </wp:inline>
        </w:drawing>
      </w:r>
    </w:p>
    <w:p w14:paraId="15067BFD" w14:textId="77777777" w:rsidR="00936AF9" w:rsidRDefault="00936AF9" w:rsidP="00936AF9">
      <w:pPr>
        <w:pStyle w:val="Caption"/>
      </w:pPr>
      <w:bookmarkStart w:id="2" w:name="_Toc276714448"/>
      <w:r>
        <w:t xml:space="preserve">Figure </w:t>
      </w:r>
      <w:proofErr w:type="gramStart"/>
      <w:r>
        <w:t>x  Spectral</w:t>
      </w:r>
      <w:proofErr w:type="gramEnd"/>
      <w:r>
        <w:t xml:space="preserve"> Power Distribution (SPD) of a White LED</w:t>
      </w:r>
      <w:bookmarkEnd w:id="2"/>
    </w:p>
    <w:p w14:paraId="34CF5AEC" w14:textId="77777777" w:rsidR="00936AF9" w:rsidRPr="005D47F3" w:rsidRDefault="00936AF9" w:rsidP="00936AF9">
      <w:r>
        <w:t xml:space="preserve">The SPD can be converted into colour by using a colour chart. A colour chart wraps the wavelengths from the SPD x axis around a locus from a two dimensional colour chart with x and y axes, known as a chromaticity diagram. Chromaticity x and y values are used to pinpoint the coordinates of a colour. CIE provide a standard chromaticity diagram for use with coloured lights, shown in </w:t>
      </w:r>
      <w:r w:rsidRPr="005D47F3">
        <w:t xml:space="preserve">figure </w:t>
      </w:r>
      <w:r>
        <w:t>x</w:t>
      </w:r>
      <w:r w:rsidRPr="005D47F3">
        <w:t>.</w:t>
      </w:r>
    </w:p>
    <w:p w14:paraId="11DFEA8D" w14:textId="77777777" w:rsidR="00936AF9" w:rsidRDefault="00936AF9" w:rsidP="00936AF9">
      <w:pPr>
        <w:keepNext/>
        <w:jc w:val="center"/>
      </w:pPr>
      <w:r>
        <w:rPr>
          <w:noProof/>
          <w:lang w:val="en-US" w:eastAsia="en-US"/>
        </w:rPr>
        <w:drawing>
          <wp:inline distT="0" distB="0" distL="0" distR="0" wp14:anchorId="5927B63F" wp14:editId="63877B62">
            <wp:extent cx="2854325" cy="3204210"/>
            <wp:effectExtent l="1905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2854325" cy="3204210"/>
                    </a:xfrm>
                    <a:prstGeom prst="rect">
                      <a:avLst/>
                    </a:prstGeom>
                    <a:noFill/>
                    <a:ln w="9525">
                      <a:noFill/>
                      <a:miter lim="800000"/>
                      <a:headEnd/>
                      <a:tailEnd/>
                    </a:ln>
                  </pic:spPr>
                </pic:pic>
              </a:graphicData>
            </a:graphic>
          </wp:inline>
        </w:drawing>
      </w:r>
    </w:p>
    <w:p w14:paraId="5635DC64" w14:textId="77777777" w:rsidR="00936AF9" w:rsidRDefault="00936AF9" w:rsidP="00936AF9">
      <w:pPr>
        <w:pStyle w:val="Caption"/>
        <w:spacing w:after="0"/>
      </w:pPr>
      <w:bookmarkStart w:id="3" w:name="_Toc276714449"/>
      <w:r>
        <w:t>Figure x CIE Chromaticity Diagram showing Spectral Locus and Approximate Colours</w:t>
      </w:r>
      <w:bookmarkEnd w:id="3"/>
    </w:p>
    <w:p w14:paraId="6B54D8DE" w14:textId="77777777" w:rsidR="00936AF9" w:rsidRDefault="00936AF9" w:rsidP="00936AF9">
      <w:pPr>
        <w:spacing w:after="240"/>
        <w:jc w:val="center"/>
        <w:rPr>
          <w:i/>
        </w:rPr>
      </w:pPr>
      <w:r>
        <w:rPr>
          <w:i/>
        </w:rPr>
        <w:t>Note: Reproduction of colours may not be accurate</w:t>
      </w:r>
    </w:p>
    <w:p w14:paraId="3110B61C" w14:textId="77777777" w:rsidR="00936AF9" w:rsidRPr="005D47F3" w:rsidRDefault="00936AF9" w:rsidP="00936AF9">
      <w:r>
        <w:t xml:space="preserve">The colour chart given in IALA Recommendation E200-1 "on Marine Signal Lights - Colour" [ref], shows the recommended colour regions for marine AtoN lights outlined on a CIE chromaticity diagram, as shown in </w:t>
      </w:r>
      <w:r w:rsidRPr="005D47F3">
        <w:t xml:space="preserve">figure </w:t>
      </w:r>
      <w:r>
        <w:t>x</w:t>
      </w:r>
      <w:r w:rsidRPr="005D47F3">
        <w:t>.</w:t>
      </w:r>
    </w:p>
    <w:p w14:paraId="69271494" w14:textId="77777777" w:rsidR="00936AF9" w:rsidRDefault="00936AF9" w:rsidP="00936AF9">
      <w:pPr>
        <w:jc w:val="center"/>
      </w:pPr>
      <w:r>
        <w:rPr>
          <w:noProof/>
          <w:lang w:val="en-US" w:eastAsia="en-US"/>
        </w:rPr>
        <w:lastRenderedPageBreak/>
        <w:drawing>
          <wp:inline distT="0" distB="0" distL="0" distR="0" wp14:anchorId="5F95390A" wp14:editId="7ABA17AF">
            <wp:extent cx="4118610" cy="40474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4118610" cy="4047490"/>
                    </a:xfrm>
                    <a:prstGeom prst="rect">
                      <a:avLst/>
                    </a:prstGeom>
                    <a:noFill/>
                    <a:ln w="9525">
                      <a:noFill/>
                      <a:miter lim="800000"/>
                      <a:headEnd/>
                      <a:tailEnd/>
                    </a:ln>
                  </pic:spPr>
                </pic:pic>
              </a:graphicData>
            </a:graphic>
          </wp:inline>
        </w:drawing>
      </w:r>
    </w:p>
    <w:p w14:paraId="1B4D6BC0" w14:textId="77777777" w:rsidR="00936AF9" w:rsidRDefault="00936AF9" w:rsidP="00936AF9">
      <w:pPr>
        <w:pStyle w:val="Caption"/>
      </w:pPr>
      <w:bookmarkStart w:id="4" w:name="_Toc276714450"/>
      <w:r>
        <w:t>Figure x CIE Chromaticity Chart showing IALA Recommended Colour Regions</w:t>
      </w:r>
      <w:bookmarkEnd w:id="4"/>
    </w:p>
    <w:p w14:paraId="042B7381" w14:textId="77777777" w:rsidR="00936AF9" w:rsidRDefault="00936AF9" w:rsidP="00936AF9">
      <w:r>
        <w:t>Therefore by measuring the SPD at angular increments, the colours of the light all round its azimuthal plane can be determined. Across sector boundaries, the change of colour from one IALA region to another can be plotted in detail. The angles at which the light does not fall into a recommended IALA colour region can be assigned to the angle of uncertainty.</w:t>
      </w:r>
    </w:p>
    <w:p w14:paraId="11FACBAC" w14:textId="77777777" w:rsidR="00936AF9" w:rsidRDefault="00936AF9" w:rsidP="00936AF9">
      <w:pPr>
        <w:keepNext/>
        <w:jc w:val="center"/>
      </w:pPr>
      <w:r>
        <w:rPr>
          <w:noProof/>
          <w:lang w:val="en-US" w:eastAsia="en-US"/>
        </w:rPr>
        <w:drawing>
          <wp:inline distT="0" distB="0" distL="0" distR="0" wp14:anchorId="502B99B9" wp14:editId="33B51F81">
            <wp:extent cx="3665855" cy="3578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3665855" cy="3578225"/>
                    </a:xfrm>
                    <a:prstGeom prst="rect">
                      <a:avLst/>
                    </a:prstGeom>
                    <a:noFill/>
                    <a:ln w="9525">
                      <a:noFill/>
                      <a:miter lim="800000"/>
                      <a:headEnd/>
                      <a:tailEnd/>
                    </a:ln>
                  </pic:spPr>
                </pic:pic>
              </a:graphicData>
            </a:graphic>
          </wp:inline>
        </w:drawing>
      </w:r>
    </w:p>
    <w:p w14:paraId="5D64349D" w14:textId="77777777" w:rsidR="00936AF9" w:rsidRDefault="00936AF9" w:rsidP="00936AF9">
      <w:pPr>
        <w:pStyle w:val="Caption"/>
      </w:pPr>
      <w:bookmarkStart w:id="5" w:name="_Toc276714451"/>
      <w:r>
        <w:t>Figure x  A Series of x, y Plots at 1/100</w:t>
      </w:r>
      <w:r>
        <w:rPr>
          <w:vertAlign w:val="superscript"/>
        </w:rPr>
        <w:t>th</w:t>
      </w:r>
      <w:r>
        <w:t xml:space="preserve"> degree Intervals on a Chromaticity Diagram showing Colour Change of a Sector Light from a White Sector to a Red Sector</w:t>
      </w:r>
      <w:bookmarkEnd w:id="5"/>
    </w:p>
    <w:p w14:paraId="68434E8A" w14:textId="77777777" w:rsidR="00936AF9" w:rsidRDefault="00936AF9" w:rsidP="00936AF9">
      <w:pPr>
        <w:suppressAutoHyphens/>
      </w:pPr>
      <w:r>
        <w:lastRenderedPageBreak/>
        <w:t xml:space="preserve">The mean of the two angles at either side of the angle of uncertainty can be taken to be the sector boundary. In the case of the plotted data in </w:t>
      </w:r>
      <w:r w:rsidRPr="005D47F3">
        <w:t>figure 7</w:t>
      </w:r>
      <w:r>
        <w:t xml:space="preserve">, the angle at which the light leaves the white region is -109.43 degrees. It enters the red region at -109.00 degrees. The sector boundary is therefore -109.215 degrees and the angle of uncertainty is </w:t>
      </w:r>
      <w:r>
        <w:rPr>
          <w:rFonts w:cs="Arial"/>
        </w:rPr>
        <w:t>±</w:t>
      </w:r>
      <w:r>
        <w:t xml:space="preserve">0.215 degrees. The quoted sector boundary, according to the goniometer horizontal angular scale, is therefore -109.215 </w:t>
      </w:r>
      <w:r>
        <w:rPr>
          <w:rFonts w:cs="Arial"/>
        </w:rPr>
        <w:t>±0.215</w:t>
      </w:r>
      <w:r>
        <w:t>degrees.</w:t>
      </w:r>
    </w:p>
    <w:p w14:paraId="7928E65C" w14:textId="77777777" w:rsidR="00936AF9" w:rsidRDefault="00936AF9" w:rsidP="00936AF9">
      <w:r>
        <w:t xml:space="preserve">The relative accuracy of the goniometer is </w:t>
      </w:r>
      <w:r>
        <w:rPr>
          <w:rFonts w:cs="Arial"/>
        </w:rPr>
        <w:t>±</w:t>
      </w:r>
      <w:r>
        <w:t xml:space="preserve">0.01degrees, which can be included in the uncertainty budget, but it is insignificant compared to the uncertainty of aligning the sector light datum mark (usually due south) with the measurement device. This is typically </w:t>
      </w:r>
      <w:r>
        <w:rPr>
          <w:rFonts w:cs="Arial"/>
        </w:rPr>
        <w:t>±</w:t>
      </w:r>
      <w:r>
        <w:t xml:space="preserve">0.5mm on the perimeter of the sector light. Therefore, if the sector light diameter is 350mm, the angular uncertainty is </w:t>
      </w:r>
      <w:r>
        <w:rPr>
          <w:rFonts w:cs="Arial"/>
        </w:rPr>
        <w:t>±</w:t>
      </w:r>
      <w:r>
        <w:t>0.15 degrees.</w:t>
      </w:r>
    </w:p>
    <w:p w14:paraId="311A5CA5" w14:textId="77777777" w:rsidR="00936AF9" w:rsidRDefault="00936AF9" w:rsidP="00936AF9">
      <w:r>
        <w:t>The measurement angle of the measurement device should also be considered. For example a 50mm measurement aperture over a 65.5m measurement distance, gives a measurement angle of 0.04 degrees.</w:t>
      </w:r>
    </w:p>
    <w:p w14:paraId="5B60FE48" w14:textId="77777777" w:rsidR="00936AF9" w:rsidRDefault="00936AF9" w:rsidP="00936AF9">
      <w:pPr>
        <w:keepNext/>
        <w:jc w:val="center"/>
      </w:pPr>
      <w:r>
        <w:rPr>
          <w:noProof/>
          <w:lang w:val="en-US" w:eastAsia="en-US"/>
        </w:rPr>
        <w:drawing>
          <wp:inline distT="0" distB="0" distL="0" distR="0" wp14:anchorId="468674C6" wp14:editId="2F3AB2C3">
            <wp:extent cx="3903980" cy="882650"/>
            <wp:effectExtent l="19050" t="0" r="127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3903980" cy="882650"/>
                    </a:xfrm>
                    <a:prstGeom prst="rect">
                      <a:avLst/>
                    </a:prstGeom>
                    <a:noFill/>
                    <a:ln w="9525">
                      <a:noFill/>
                      <a:miter lim="800000"/>
                      <a:headEnd/>
                      <a:tailEnd/>
                    </a:ln>
                  </pic:spPr>
                </pic:pic>
              </a:graphicData>
            </a:graphic>
          </wp:inline>
        </w:drawing>
      </w:r>
    </w:p>
    <w:p w14:paraId="3307EFEA" w14:textId="77777777" w:rsidR="00936AF9" w:rsidRDefault="00936AF9" w:rsidP="00936AF9">
      <w:pPr>
        <w:pStyle w:val="Caption"/>
      </w:pPr>
      <w:bookmarkStart w:id="6" w:name="_Toc276714452"/>
      <w:r>
        <w:t xml:space="preserve">Figure </w:t>
      </w:r>
      <w:proofErr w:type="gramStart"/>
      <w:r>
        <w:t>x  Diagram</w:t>
      </w:r>
      <w:proofErr w:type="gramEnd"/>
      <w:r>
        <w:t xml:space="preserve"> depicting Measurement Angle</w:t>
      </w:r>
      <w:bookmarkEnd w:id="6"/>
    </w:p>
    <w:p w14:paraId="528BC317" w14:textId="77777777" w:rsidR="00936AF9" w:rsidRDefault="00936AF9" w:rsidP="00936AF9">
      <w:pPr>
        <w:pStyle w:val="Heading3"/>
        <w:tabs>
          <w:tab w:val="clear" w:pos="992"/>
          <w:tab w:val="num" w:pos="720"/>
        </w:tabs>
        <w:spacing w:before="240" w:after="60"/>
        <w:ind w:left="720" w:hanging="720"/>
      </w:pPr>
      <w:r>
        <w:t>Measurement Procedure</w:t>
      </w:r>
    </w:p>
    <w:p w14:paraId="56C83673" w14:textId="77777777" w:rsidR="00936AF9" w:rsidRDefault="00936AF9" w:rsidP="00936AF9">
      <w:pPr>
        <w:numPr>
          <w:ilvl w:val="0"/>
          <w:numId w:val="43"/>
        </w:numPr>
        <w:spacing w:before="120" w:after="120"/>
      </w:pPr>
      <w:r>
        <w:t xml:space="preserve">The sector light should be placed on the centre of the goniometer and the spectroradiometer aligned with the light at a given distance </w:t>
      </w:r>
    </w:p>
    <w:p w14:paraId="59DDC599" w14:textId="77777777" w:rsidR="00936AF9" w:rsidRDefault="00936AF9" w:rsidP="00936AF9">
      <w:pPr>
        <w:numPr>
          <w:ilvl w:val="0"/>
          <w:numId w:val="43"/>
        </w:numPr>
        <w:spacing w:before="120" w:after="120"/>
      </w:pPr>
      <w:r>
        <w:t xml:space="preserve">A measurement datum point should be marked on the perimeter of the light that is in line with the spectroradiometer measurement aperture. This datum corresponds to zero degrees on the goniometer angular measurement scale </w:t>
      </w:r>
      <w:r w:rsidRPr="005D47F3">
        <w:t>[</w:t>
      </w:r>
      <w:r>
        <w:t>ref</w:t>
      </w:r>
      <w:r w:rsidRPr="005D47F3">
        <w:t>].</w:t>
      </w:r>
      <w:r>
        <w:t xml:space="preserve">  The alignment can be done with a line laser or projector shone from the measurement head to the light on the centre of the goniometer table. This casts the shadow of a plumb-line across the centre of the table in line with the measurement axis and the shadow can be clearly seen on the perimeter of the light under test.</w:t>
      </w:r>
    </w:p>
    <w:p w14:paraId="2BF26709" w14:textId="77777777" w:rsidR="00936AF9" w:rsidRDefault="00936AF9" w:rsidP="00936AF9">
      <w:pPr>
        <w:numPr>
          <w:ilvl w:val="0"/>
          <w:numId w:val="43"/>
        </w:numPr>
        <w:spacing w:before="120" w:after="120"/>
      </w:pPr>
      <w:r>
        <w:t>Once datum is marked, the sector light should then be turned through incremented horizontal (or azimuthal) angles. At each incremented angle, the visible spectrum should be recorded. From each spectral recording, intensity and colour information can be derived and plotted against horizontal angle on a Cartesian graph.</w:t>
      </w:r>
    </w:p>
    <w:p w14:paraId="0D677FB1" w14:textId="77777777" w:rsidR="00936AF9" w:rsidRDefault="00936AF9" w:rsidP="00936AF9">
      <w:r>
        <w:t xml:space="preserve"> </w:t>
      </w:r>
    </w:p>
    <w:p w14:paraId="569A5E59" w14:textId="77777777" w:rsidR="00936AF9" w:rsidRDefault="00936AF9" w:rsidP="00936AF9">
      <w:pPr>
        <w:keepNext/>
        <w:jc w:val="center"/>
      </w:pPr>
      <w:r>
        <w:rPr>
          <w:noProof/>
          <w:lang w:val="en-US" w:eastAsia="en-US"/>
        </w:rPr>
        <w:lastRenderedPageBreak/>
        <w:drawing>
          <wp:inline distT="0" distB="0" distL="0" distR="0" wp14:anchorId="79E8ACB7" wp14:editId="6E36EC6D">
            <wp:extent cx="4874260" cy="30054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4874260" cy="3005455"/>
                    </a:xfrm>
                    <a:prstGeom prst="rect">
                      <a:avLst/>
                    </a:prstGeom>
                    <a:noFill/>
                    <a:ln w="9525">
                      <a:noFill/>
                      <a:miter lim="800000"/>
                      <a:headEnd/>
                      <a:tailEnd/>
                    </a:ln>
                  </pic:spPr>
                </pic:pic>
              </a:graphicData>
            </a:graphic>
          </wp:inline>
        </w:drawing>
      </w:r>
    </w:p>
    <w:p w14:paraId="7B226D3F" w14:textId="77777777" w:rsidR="00936AF9" w:rsidRDefault="00936AF9" w:rsidP="00936AF9">
      <w:pPr>
        <w:pStyle w:val="Caption"/>
      </w:pPr>
      <w:bookmarkStart w:id="7" w:name="_Toc276714453"/>
      <w:r>
        <w:t xml:space="preserve">Figure x Cartesian Graph of Intensity and Chromaticity </w:t>
      </w:r>
      <w:proofErr w:type="spellStart"/>
      <w:r>
        <w:t>vs</w:t>
      </w:r>
      <w:proofErr w:type="spellEnd"/>
      <w:r>
        <w:t xml:space="preserve"> Horizontal Angle</w:t>
      </w:r>
      <w:bookmarkEnd w:id="7"/>
    </w:p>
    <w:p w14:paraId="72C5FFD2" w14:textId="77777777" w:rsidR="00936AF9" w:rsidRDefault="00936AF9" w:rsidP="00936AF9">
      <w:pPr>
        <w:numPr>
          <w:ilvl w:val="0"/>
          <w:numId w:val="44"/>
        </w:numPr>
        <w:spacing w:before="120" w:after="120"/>
      </w:pPr>
      <w:r>
        <w:t>The intensity data should be used to determine the nominal range of each sector in accordance with IALA Recommendation E200-2. The x, y chromaticity can be plotted on a chromaticity diagram to determine the sector angles with respect to the datum point (zero on the goniometer scale). They should also be used to check that the colour in each sector falls within the recommended colour region according to IALA Recommendation E200-1.</w:t>
      </w:r>
    </w:p>
    <w:p w14:paraId="30F417E5" w14:textId="77777777" w:rsidR="00936AF9" w:rsidRDefault="00936AF9" w:rsidP="00936AF9">
      <w:pPr>
        <w:numPr>
          <w:ilvl w:val="0"/>
          <w:numId w:val="44"/>
        </w:numPr>
        <w:spacing w:before="120" w:after="120"/>
      </w:pPr>
      <w:r>
        <w:t>Once the sector boundary angles have been determined, these need to be converted from the goniometer scale to a compass bearing and reciprocal compass bearing. This will enable the sectors to be checked with figures published in the Admiralty List of Lights or with the navigational requirement.</w:t>
      </w:r>
    </w:p>
    <w:p w14:paraId="1F4588BB" w14:textId="77777777" w:rsidR="00936AF9" w:rsidRDefault="00936AF9" w:rsidP="00936AF9">
      <w:r>
        <w:br w:type="page"/>
      </w:r>
    </w:p>
    <w:tbl>
      <w:tblPr>
        <w:tblW w:w="5320" w:type="dxa"/>
        <w:jc w:val="center"/>
        <w:tblLook w:val="0000" w:firstRow="0" w:lastRow="0" w:firstColumn="0" w:lastColumn="0" w:noHBand="0" w:noVBand="0"/>
      </w:tblPr>
      <w:tblGrid>
        <w:gridCol w:w="1800"/>
        <w:gridCol w:w="1780"/>
        <w:gridCol w:w="1740"/>
      </w:tblGrid>
      <w:tr w:rsidR="00936AF9" w14:paraId="0796A497" w14:textId="77777777" w:rsidTr="00936AF9">
        <w:trPr>
          <w:trHeight w:val="915"/>
          <w:jc w:val="center"/>
        </w:trPr>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14:paraId="499B2DEC" w14:textId="77777777" w:rsidR="00936AF9" w:rsidRDefault="00936AF9" w:rsidP="00936AF9">
            <w:pPr>
              <w:jc w:val="center"/>
              <w:rPr>
                <w:rFonts w:ascii="Tahoma" w:hAnsi="Tahoma" w:cs="Tahoma"/>
                <w:b/>
                <w:bCs/>
                <w:sz w:val="24"/>
              </w:rPr>
            </w:pPr>
            <w:r>
              <w:rPr>
                <w:rFonts w:ascii="Tahoma" w:hAnsi="Tahoma" w:cs="Tahoma"/>
                <w:b/>
                <w:bCs/>
                <w:sz w:val="24"/>
              </w:rPr>
              <w:lastRenderedPageBreak/>
              <w:t>Goniometer</w:t>
            </w:r>
          </w:p>
          <w:p w14:paraId="613D9538" w14:textId="77777777" w:rsidR="00936AF9" w:rsidRDefault="00936AF9" w:rsidP="00936AF9">
            <w:pPr>
              <w:jc w:val="center"/>
              <w:rPr>
                <w:rFonts w:ascii="Tahoma" w:hAnsi="Tahoma" w:cs="Tahoma"/>
                <w:b/>
                <w:bCs/>
                <w:sz w:val="24"/>
              </w:rPr>
            </w:pPr>
            <w:r>
              <w:rPr>
                <w:rFonts w:ascii="Tahoma" w:hAnsi="Tahoma" w:cs="Tahoma"/>
                <w:b/>
                <w:bCs/>
                <w:sz w:val="24"/>
              </w:rPr>
              <w:t>Angle</w:t>
            </w:r>
          </w:p>
        </w:tc>
        <w:tc>
          <w:tcPr>
            <w:tcW w:w="1780" w:type="dxa"/>
            <w:tcBorders>
              <w:top w:val="single" w:sz="4" w:space="0" w:color="auto"/>
              <w:left w:val="nil"/>
              <w:bottom w:val="single" w:sz="4" w:space="0" w:color="auto"/>
              <w:right w:val="single" w:sz="4" w:space="0" w:color="auto"/>
            </w:tcBorders>
            <w:shd w:val="clear" w:color="auto" w:fill="auto"/>
            <w:vAlign w:val="center"/>
          </w:tcPr>
          <w:p w14:paraId="1292610F" w14:textId="77777777" w:rsidR="00936AF9" w:rsidRDefault="00936AF9" w:rsidP="00936AF9">
            <w:pPr>
              <w:jc w:val="center"/>
              <w:rPr>
                <w:rFonts w:ascii="Tahoma" w:hAnsi="Tahoma" w:cs="Tahoma"/>
                <w:b/>
                <w:bCs/>
                <w:sz w:val="24"/>
              </w:rPr>
            </w:pPr>
            <w:r>
              <w:rPr>
                <w:rFonts w:ascii="Tahoma" w:hAnsi="Tahoma" w:cs="Tahoma"/>
                <w:b/>
                <w:bCs/>
                <w:sz w:val="24"/>
              </w:rPr>
              <w:t>Compass Bearing (lighthouse)</w:t>
            </w:r>
          </w:p>
        </w:tc>
        <w:tc>
          <w:tcPr>
            <w:tcW w:w="1740" w:type="dxa"/>
            <w:tcBorders>
              <w:top w:val="single" w:sz="4" w:space="0" w:color="auto"/>
              <w:left w:val="nil"/>
              <w:bottom w:val="single" w:sz="4" w:space="0" w:color="auto"/>
              <w:right w:val="single" w:sz="4" w:space="0" w:color="auto"/>
            </w:tcBorders>
            <w:shd w:val="clear" w:color="auto" w:fill="auto"/>
            <w:vAlign w:val="center"/>
          </w:tcPr>
          <w:p w14:paraId="14A23C84" w14:textId="77777777" w:rsidR="00936AF9" w:rsidRDefault="00936AF9" w:rsidP="00936AF9">
            <w:pPr>
              <w:jc w:val="center"/>
              <w:rPr>
                <w:rFonts w:ascii="Tahoma" w:hAnsi="Tahoma" w:cs="Tahoma"/>
                <w:b/>
                <w:bCs/>
                <w:sz w:val="24"/>
              </w:rPr>
            </w:pPr>
            <w:r>
              <w:rPr>
                <w:rFonts w:ascii="Tahoma" w:hAnsi="Tahoma" w:cs="Tahoma"/>
                <w:b/>
                <w:bCs/>
                <w:sz w:val="24"/>
              </w:rPr>
              <w:t>Reciprocal Bearing</w:t>
            </w:r>
          </w:p>
          <w:p w14:paraId="2EF8530B" w14:textId="77777777" w:rsidR="00936AF9" w:rsidRDefault="00936AF9" w:rsidP="00936AF9">
            <w:pPr>
              <w:jc w:val="center"/>
              <w:rPr>
                <w:rFonts w:ascii="Tahoma" w:hAnsi="Tahoma" w:cs="Tahoma"/>
                <w:b/>
                <w:bCs/>
                <w:sz w:val="24"/>
              </w:rPr>
            </w:pPr>
            <w:r>
              <w:rPr>
                <w:rFonts w:ascii="Tahoma" w:hAnsi="Tahoma" w:cs="Tahoma"/>
                <w:b/>
                <w:bCs/>
                <w:sz w:val="24"/>
              </w:rPr>
              <w:t>(ship)</w:t>
            </w:r>
          </w:p>
        </w:tc>
      </w:tr>
      <w:tr w:rsidR="00936AF9" w14:paraId="7E596056"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3934F54B" w14:textId="77777777" w:rsidR="00936AF9" w:rsidRDefault="00936AF9" w:rsidP="00936AF9">
            <w:pPr>
              <w:jc w:val="center"/>
              <w:rPr>
                <w:rFonts w:ascii="Tahoma" w:hAnsi="Tahoma" w:cs="Tahoma"/>
                <w:sz w:val="20"/>
                <w:szCs w:val="20"/>
              </w:rPr>
            </w:pPr>
            <w:r>
              <w:rPr>
                <w:rFonts w:ascii="Tahoma" w:hAnsi="Tahoma" w:cs="Tahoma"/>
                <w:sz w:val="20"/>
                <w:szCs w:val="20"/>
              </w:rPr>
              <w:t>-180</w:t>
            </w:r>
          </w:p>
        </w:tc>
        <w:tc>
          <w:tcPr>
            <w:tcW w:w="1780" w:type="dxa"/>
            <w:tcBorders>
              <w:top w:val="nil"/>
              <w:left w:val="nil"/>
              <w:bottom w:val="nil"/>
              <w:right w:val="single" w:sz="4" w:space="0" w:color="auto"/>
            </w:tcBorders>
            <w:shd w:val="clear" w:color="auto" w:fill="auto"/>
            <w:noWrap/>
            <w:vAlign w:val="bottom"/>
          </w:tcPr>
          <w:p w14:paraId="3FB3202D" w14:textId="77777777" w:rsidR="00936AF9" w:rsidRDefault="00936AF9" w:rsidP="00936AF9">
            <w:pPr>
              <w:jc w:val="center"/>
              <w:rPr>
                <w:rFonts w:ascii="Tahoma" w:hAnsi="Tahoma" w:cs="Tahoma"/>
                <w:sz w:val="20"/>
                <w:szCs w:val="20"/>
              </w:rPr>
            </w:pPr>
            <w:r>
              <w:rPr>
                <w:rFonts w:ascii="Tahoma" w:hAnsi="Tahoma" w:cs="Tahoma"/>
                <w:sz w:val="20"/>
                <w:szCs w:val="20"/>
              </w:rPr>
              <w:t>0</w:t>
            </w:r>
          </w:p>
        </w:tc>
        <w:tc>
          <w:tcPr>
            <w:tcW w:w="1740" w:type="dxa"/>
            <w:tcBorders>
              <w:top w:val="nil"/>
              <w:left w:val="nil"/>
              <w:bottom w:val="nil"/>
              <w:right w:val="single" w:sz="4" w:space="0" w:color="auto"/>
            </w:tcBorders>
            <w:shd w:val="clear" w:color="auto" w:fill="auto"/>
            <w:noWrap/>
            <w:vAlign w:val="bottom"/>
          </w:tcPr>
          <w:p w14:paraId="55E647B2" w14:textId="77777777" w:rsidR="00936AF9" w:rsidRDefault="00936AF9" w:rsidP="00936AF9">
            <w:pPr>
              <w:jc w:val="center"/>
              <w:rPr>
                <w:rFonts w:ascii="Tahoma" w:hAnsi="Tahoma" w:cs="Tahoma"/>
                <w:sz w:val="20"/>
                <w:szCs w:val="20"/>
              </w:rPr>
            </w:pPr>
            <w:r>
              <w:rPr>
                <w:rFonts w:ascii="Tahoma" w:hAnsi="Tahoma" w:cs="Tahoma"/>
                <w:sz w:val="20"/>
                <w:szCs w:val="20"/>
              </w:rPr>
              <w:t>180</w:t>
            </w:r>
          </w:p>
        </w:tc>
      </w:tr>
      <w:tr w:rsidR="00936AF9" w14:paraId="60115313"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45D1B9EE" w14:textId="77777777" w:rsidR="00936AF9" w:rsidRDefault="00936AF9" w:rsidP="00936AF9">
            <w:pPr>
              <w:jc w:val="center"/>
              <w:rPr>
                <w:rFonts w:ascii="Tahoma" w:hAnsi="Tahoma" w:cs="Tahoma"/>
                <w:sz w:val="20"/>
                <w:szCs w:val="20"/>
              </w:rPr>
            </w:pPr>
            <w:r>
              <w:rPr>
                <w:rFonts w:ascii="Tahoma" w:hAnsi="Tahoma" w:cs="Tahoma"/>
                <w:sz w:val="20"/>
                <w:szCs w:val="20"/>
              </w:rPr>
              <w:t>-170</w:t>
            </w:r>
          </w:p>
        </w:tc>
        <w:tc>
          <w:tcPr>
            <w:tcW w:w="1780" w:type="dxa"/>
            <w:tcBorders>
              <w:top w:val="nil"/>
              <w:left w:val="nil"/>
              <w:bottom w:val="nil"/>
              <w:right w:val="single" w:sz="4" w:space="0" w:color="auto"/>
            </w:tcBorders>
            <w:shd w:val="clear" w:color="auto" w:fill="auto"/>
            <w:noWrap/>
            <w:vAlign w:val="bottom"/>
          </w:tcPr>
          <w:p w14:paraId="19D6AE83" w14:textId="77777777" w:rsidR="00936AF9" w:rsidRDefault="00936AF9" w:rsidP="00936AF9">
            <w:pPr>
              <w:jc w:val="center"/>
              <w:rPr>
                <w:rFonts w:ascii="Tahoma" w:hAnsi="Tahoma" w:cs="Tahoma"/>
                <w:sz w:val="20"/>
                <w:szCs w:val="20"/>
              </w:rPr>
            </w:pPr>
            <w:r>
              <w:rPr>
                <w:rFonts w:ascii="Tahoma" w:hAnsi="Tahoma" w:cs="Tahoma"/>
                <w:sz w:val="20"/>
                <w:szCs w:val="20"/>
              </w:rPr>
              <w:t>350</w:t>
            </w:r>
          </w:p>
        </w:tc>
        <w:tc>
          <w:tcPr>
            <w:tcW w:w="1740" w:type="dxa"/>
            <w:tcBorders>
              <w:top w:val="nil"/>
              <w:left w:val="nil"/>
              <w:bottom w:val="nil"/>
              <w:right w:val="single" w:sz="4" w:space="0" w:color="auto"/>
            </w:tcBorders>
            <w:shd w:val="clear" w:color="auto" w:fill="auto"/>
            <w:noWrap/>
            <w:vAlign w:val="bottom"/>
          </w:tcPr>
          <w:p w14:paraId="5BF1A344" w14:textId="77777777" w:rsidR="00936AF9" w:rsidRDefault="00936AF9" w:rsidP="00936AF9">
            <w:pPr>
              <w:jc w:val="center"/>
              <w:rPr>
                <w:rFonts w:ascii="Tahoma" w:hAnsi="Tahoma" w:cs="Tahoma"/>
                <w:sz w:val="20"/>
                <w:szCs w:val="20"/>
              </w:rPr>
            </w:pPr>
            <w:r>
              <w:rPr>
                <w:rFonts w:ascii="Tahoma" w:hAnsi="Tahoma" w:cs="Tahoma"/>
                <w:sz w:val="20"/>
                <w:szCs w:val="20"/>
              </w:rPr>
              <w:t>170</w:t>
            </w:r>
          </w:p>
        </w:tc>
      </w:tr>
      <w:tr w:rsidR="00936AF9" w14:paraId="0DAE9AAD"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3ACE4E9" w14:textId="77777777" w:rsidR="00936AF9" w:rsidRDefault="00936AF9" w:rsidP="00936AF9">
            <w:pPr>
              <w:jc w:val="center"/>
              <w:rPr>
                <w:rFonts w:ascii="Tahoma" w:hAnsi="Tahoma" w:cs="Tahoma"/>
                <w:sz w:val="20"/>
                <w:szCs w:val="20"/>
              </w:rPr>
            </w:pPr>
            <w:r>
              <w:rPr>
                <w:rFonts w:ascii="Tahoma" w:hAnsi="Tahoma" w:cs="Tahoma"/>
                <w:sz w:val="20"/>
                <w:szCs w:val="20"/>
              </w:rPr>
              <w:t>-160</w:t>
            </w:r>
          </w:p>
        </w:tc>
        <w:tc>
          <w:tcPr>
            <w:tcW w:w="1780" w:type="dxa"/>
            <w:tcBorders>
              <w:top w:val="nil"/>
              <w:left w:val="nil"/>
              <w:bottom w:val="nil"/>
              <w:right w:val="single" w:sz="4" w:space="0" w:color="auto"/>
            </w:tcBorders>
            <w:shd w:val="clear" w:color="auto" w:fill="auto"/>
            <w:noWrap/>
            <w:vAlign w:val="bottom"/>
          </w:tcPr>
          <w:p w14:paraId="6AD66C6C" w14:textId="77777777" w:rsidR="00936AF9" w:rsidRDefault="00936AF9" w:rsidP="00936AF9">
            <w:pPr>
              <w:jc w:val="center"/>
              <w:rPr>
                <w:rFonts w:ascii="Tahoma" w:hAnsi="Tahoma" w:cs="Tahoma"/>
                <w:sz w:val="20"/>
                <w:szCs w:val="20"/>
              </w:rPr>
            </w:pPr>
            <w:r>
              <w:rPr>
                <w:rFonts w:ascii="Tahoma" w:hAnsi="Tahoma" w:cs="Tahoma"/>
                <w:sz w:val="20"/>
                <w:szCs w:val="20"/>
              </w:rPr>
              <w:t>340</w:t>
            </w:r>
          </w:p>
        </w:tc>
        <w:tc>
          <w:tcPr>
            <w:tcW w:w="1740" w:type="dxa"/>
            <w:tcBorders>
              <w:top w:val="nil"/>
              <w:left w:val="nil"/>
              <w:bottom w:val="nil"/>
              <w:right w:val="single" w:sz="4" w:space="0" w:color="auto"/>
            </w:tcBorders>
            <w:shd w:val="clear" w:color="auto" w:fill="auto"/>
            <w:noWrap/>
            <w:vAlign w:val="bottom"/>
          </w:tcPr>
          <w:p w14:paraId="3F0A6AC3" w14:textId="77777777" w:rsidR="00936AF9" w:rsidRDefault="00936AF9" w:rsidP="00936AF9">
            <w:pPr>
              <w:jc w:val="center"/>
              <w:rPr>
                <w:rFonts w:ascii="Tahoma" w:hAnsi="Tahoma" w:cs="Tahoma"/>
                <w:sz w:val="20"/>
                <w:szCs w:val="20"/>
              </w:rPr>
            </w:pPr>
            <w:r>
              <w:rPr>
                <w:rFonts w:ascii="Tahoma" w:hAnsi="Tahoma" w:cs="Tahoma"/>
                <w:sz w:val="20"/>
                <w:szCs w:val="20"/>
              </w:rPr>
              <w:t>160</w:t>
            </w:r>
          </w:p>
        </w:tc>
      </w:tr>
      <w:tr w:rsidR="00936AF9" w14:paraId="58B3E024"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7E709E89" w14:textId="77777777" w:rsidR="00936AF9" w:rsidRDefault="00936AF9" w:rsidP="00936AF9">
            <w:pPr>
              <w:jc w:val="center"/>
              <w:rPr>
                <w:rFonts w:ascii="Tahoma" w:hAnsi="Tahoma" w:cs="Tahoma"/>
                <w:sz w:val="20"/>
                <w:szCs w:val="20"/>
              </w:rPr>
            </w:pPr>
            <w:r>
              <w:rPr>
                <w:rFonts w:ascii="Tahoma" w:hAnsi="Tahoma" w:cs="Tahoma"/>
                <w:sz w:val="20"/>
                <w:szCs w:val="20"/>
              </w:rPr>
              <w:t>-150</w:t>
            </w:r>
          </w:p>
        </w:tc>
        <w:tc>
          <w:tcPr>
            <w:tcW w:w="1780" w:type="dxa"/>
            <w:tcBorders>
              <w:top w:val="nil"/>
              <w:left w:val="nil"/>
              <w:bottom w:val="nil"/>
              <w:right w:val="single" w:sz="4" w:space="0" w:color="auto"/>
            </w:tcBorders>
            <w:shd w:val="clear" w:color="auto" w:fill="auto"/>
            <w:noWrap/>
            <w:vAlign w:val="bottom"/>
          </w:tcPr>
          <w:p w14:paraId="417ED6BF" w14:textId="77777777" w:rsidR="00936AF9" w:rsidRDefault="00936AF9" w:rsidP="00936AF9">
            <w:pPr>
              <w:jc w:val="center"/>
              <w:rPr>
                <w:rFonts w:ascii="Tahoma" w:hAnsi="Tahoma" w:cs="Tahoma"/>
                <w:sz w:val="20"/>
                <w:szCs w:val="20"/>
              </w:rPr>
            </w:pPr>
            <w:r>
              <w:rPr>
                <w:rFonts w:ascii="Tahoma" w:hAnsi="Tahoma" w:cs="Tahoma"/>
                <w:sz w:val="20"/>
                <w:szCs w:val="20"/>
              </w:rPr>
              <w:t>330</w:t>
            </w:r>
          </w:p>
        </w:tc>
        <w:tc>
          <w:tcPr>
            <w:tcW w:w="1740" w:type="dxa"/>
            <w:tcBorders>
              <w:top w:val="nil"/>
              <w:left w:val="nil"/>
              <w:bottom w:val="nil"/>
              <w:right w:val="single" w:sz="4" w:space="0" w:color="auto"/>
            </w:tcBorders>
            <w:shd w:val="clear" w:color="auto" w:fill="auto"/>
            <w:noWrap/>
            <w:vAlign w:val="bottom"/>
          </w:tcPr>
          <w:p w14:paraId="3A01234C" w14:textId="77777777" w:rsidR="00936AF9" w:rsidRDefault="00936AF9" w:rsidP="00936AF9">
            <w:pPr>
              <w:jc w:val="center"/>
              <w:rPr>
                <w:rFonts w:ascii="Tahoma" w:hAnsi="Tahoma" w:cs="Tahoma"/>
                <w:sz w:val="20"/>
                <w:szCs w:val="20"/>
              </w:rPr>
            </w:pPr>
            <w:r>
              <w:rPr>
                <w:rFonts w:ascii="Tahoma" w:hAnsi="Tahoma" w:cs="Tahoma"/>
                <w:sz w:val="20"/>
                <w:szCs w:val="20"/>
              </w:rPr>
              <w:t>150</w:t>
            </w:r>
          </w:p>
        </w:tc>
      </w:tr>
      <w:tr w:rsidR="00936AF9" w14:paraId="7E352895"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7AAB480" w14:textId="77777777" w:rsidR="00936AF9" w:rsidRDefault="00936AF9" w:rsidP="00936AF9">
            <w:pPr>
              <w:jc w:val="center"/>
              <w:rPr>
                <w:rFonts w:ascii="Tahoma" w:hAnsi="Tahoma" w:cs="Tahoma"/>
                <w:sz w:val="20"/>
                <w:szCs w:val="20"/>
              </w:rPr>
            </w:pPr>
            <w:r>
              <w:rPr>
                <w:rFonts w:ascii="Tahoma" w:hAnsi="Tahoma" w:cs="Tahoma"/>
                <w:sz w:val="20"/>
                <w:szCs w:val="20"/>
              </w:rPr>
              <w:t>-140</w:t>
            </w:r>
          </w:p>
        </w:tc>
        <w:tc>
          <w:tcPr>
            <w:tcW w:w="1780" w:type="dxa"/>
            <w:tcBorders>
              <w:top w:val="nil"/>
              <w:left w:val="nil"/>
              <w:bottom w:val="nil"/>
              <w:right w:val="single" w:sz="4" w:space="0" w:color="auto"/>
            </w:tcBorders>
            <w:shd w:val="clear" w:color="auto" w:fill="auto"/>
            <w:noWrap/>
            <w:vAlign w:val="bottom"/>
          </w:tcPr>
          <w:p w14:paraId="3ADB49CC" w14:textId="77777777" w:rsidR="00936AF9" w:rsidRDefault="00936AF9" w:rsidP="00936AF9">
            <w:pPr>
              <w:jc w:val="center"/>
              <w:rPr>
                <w:rFonts w:ascii="Tahoma" w:hAnsi="Tahoma" w:cs="Tahoma"/>
                <w:sz w:val="20"/>
                <w:szCs w:val="20"/>
              </w:rPr>
            </w:pPr>
            <w:r>
              <w:rPr>
                <w:rFonts w:ascii="Tahoma" w:hAnsi="Tahoma" w:cs="Tahoma"/>
                <w:sz w:val="20"/>
                <w:szCs w:val="20"/>
              </w:rPr>
              <w:t>320</w:t>
            </w:r>
          </w:p>
        </w:tc>
        <w:tc>
          <w:tcPr>
            <w:tcW w:w="1740" w:type="dxa"/>
            <w:tcBorders>
              <w:top w:val="nil"/>
              <w:left w:val="nil"/>
              <w:bottom w:val="nil"/>
              <w:right w:val="single" w:sz="4" w:space="0" w:color="auto"/>
            </w:tcBorders>
            <w:shd w:val="clear" w:color="auto" w:fill="auto"/>
            <w:noWrap/>
            <w:vAlign w:val="bottom"/>
          </w:tcPr>
          <w:p w14:paraId="09AAF2E6" w14:textId="77777777" w:rsidR="00936AF9" w:rsidRDefault="00936AF9" w:rsidP="00936AF9">
            <w:pPr>
              <w:jc w:val="center"/>
              <w:rPr>
                <w:rFonts w:ascii="Tahoma" w:hAnsi="Tahoma" w:cs="Tahoma"/>
                <w:sz w:val="20"/>
                <w:szCs w:val="20"/>
              </w:rPr>
            </w:pPr>
            <w:r>
              <w:rPr>
                <w:rFonts w:ascii="Tahoma" w:hAnsi="Tahoma" w:cs="Tahoma"/>
                <w:sz w:val="20"/>
                <w:szCs w:val="20"/>
              </w:rPr>
              <w:t>140</w:t>
            </w:r>
          </w:p>
        </w:tc>
      </w:tr>
      <w:tr w:rsidR="00936AF9" w14:paraId="1A62AF6E"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862E3D3" w14:textId="77777777" w:rsidR="00936AF9" w:rsidRDefault="00936AF9" w:rsidP="00936AF9">
            <w:pPr>
              <w:jc w:val="center"/>
              <w:rPr>
                <w:rFonts w:ascii="Tahoma" w:hAnsi="Tahoma" w:cs="Tahoma"/>
                <w:sz w:val="20"/>
                <w:szCs w:val="20"/>
              </w:rPr>
            </w:pPr>
            <w:r>
              <w:rPr>
                <w:rFonts w:ascii="Tahoma" w:hAnsi="Tahoma" w:cs="Tahoma"/>
                <w:sz w:val="20"/>
                <w:szCs w:val="20"/>
              </w:rPr>
              <w:t>-130</w:t>
            </w:r>
          </w:p>
        </w:tc>
        <w:tc>
          <w:tcPr>
            <w:tcW w:w="1780" w:type="dxa"/>
            <w:tcBorders>
              <w:top w:val="nil"/>
              <w:left w:val="nil"/>
              <w:bottom w:val="nil"/>
              <w:right w:val="single" w:sz="4" w:space="0" w:color="auto"/>
            </w:tcBorders>
            <w:shd w:val="clear" w:color="auto" w:fill="auto"/>
            <w:noWrap/>
            <w:vAlign w:val="bottom"/>
          </w:tcPr>
          <w:p w14:paraId="64CAEDB1" w14:textId="77777777" w:rsidR="00936AF9" w:rsidRDefault="00936AF9" w:rsidP="00936AF9">
            <w:pPr>
              <w:jc w:val="center"/>
              <w:rPr>
                <w:rFonts w:ascii="Tahoma" w:hAnsi="Tahoma" w:cs="Tahoma"/>
                <w:sz w:val="20"/>
                <w:szCs w:val="20"/>
              </w:rPr>
            </w:pPr>
            <w:r>
              <w:rPr>
                <w:rFonts w:ascii="Tahoma" w:hAnsi="Tahoma" w:cs="Tahoma"/>
                <w:sz w:val="20"/>
                <w:szCs w:val="20"/>
              </w:rPr>
              <w:t>310</w:t>
            </w:r>
          </w:p>
        </w:tc>
        <w:tc>
          <w:tcPr>
            <w:tcW w:w="1740" w:type="dxa"/>
            <w:tcBorders>
              <w:top w:val="nil"/>
              <w:left w:val="nil"/>
              <w:bottom w:val="nil"/>
              <w:right w:val="single" w:sz="4" w:space="0" w:color="auto"/>
            </w:tcBorders>
            <w:shd w:val="clear" w:color="auto" w:fill="auto"/>
            <w:noWrap/>
            <w:vAlign w:val="bottom"/>
          </w:tcPr>
          <w:p w14:paraId="580D898C" w14:textId="77777777" w:rsidR="00936AF9" w:rsidRDefault="00936AF9" w:rsidP="00936AF9">
            <w:pPr>
              <w:jc w:val="center"/>
              <w:rPr>
                <w:rFonts w:ascii="Tahoma" w:hAnsi="Tahoma" w:cs="Tahoma"/>
                <w:sz w:val="20"/>
                <w:szCs w:val="20"/>
              </w:rPr>
            </w:pPr>
            <w:r>
              <w:rPr>
                <w:rFonts w:ascii="Tahoma" w:hAnsi="Tahoma" w:cs="Tahoma"/>
                <w:sz w:val="20"/>
                <w:szCs w:val="20"/>
              </w:rPr>
              <w:t>130</w:t>
            </w:r>
          </w:p>
        </w:tc>
      </w:tr>
      <w:tr w:rsidR="00936AF9" w14:paraId="30BEC7FF"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6F0D432" w14:textId="77777777" w:rsidR="00936AF9" w:rsidRDefault="00936AF9" w:rsidP="00936AF9">
            <w:pPr>
              <w:jc w:val="center"/>
              <w:rPr>
                <w:rFonts w:ascii="Tahoma" w:hAnsi="Tahoma" w:cs="Tahoma"/>
                <w:sz w:val="20"/>
                <w:szCs w:val="20"/>
              </w:rPr>
            </w:pPr>
            <w:r>
              <w:rPr>
                <w:rFonts w:ascii="Tahoma" w:hAnsi="Tahoma" w:cs="Tahoma"/>
                <w:sz w:val="20"/>
                <w:szCs w:val="20"/>
              </w:rPr>
              <w:t>-120</w:t>
            </w:r>
          </w:p>
        </w:tc>
        <w:tc>
          <w:tcPr>
            <w:tcW w:w="1780" w:type="dxa"/>
            <w:tcBorders>
              <w:top w:val="nil"/>
              <w:left w:val="nil"/>
              <w:bottom w:val="nil"/>
              <w:right w:val="single" w:sz="4" w:space="0" w:color="auto"/>
            </w:tcBorders>
            <w:shd w:val="clear" w:color="auto" w:fill="auto"/>
            <w:noWrap/>
            <w:vAlign w:val="bottom"/>
          </w:tcPr>
          <w:p w14:paraId="700955B5" w14:textId="77777777" w:rsidR="00936AF9" w:rsidRDefault="00936AF9" w:rsidP="00936AF9">
            <w:pPr>
              <w:jc w:val="center"/>
              <w:rPr>
                <w:rFonts w:ascii="Tahoma" w:hAnsi="Tahoma" w:cs="Tahoma"/>
                <w:sz w:val="20"/>
                <w:szCs w:val="20"/>
              </w:rPr>
            </w:pPr>
            <w:r>
              <w:rPr>
                <w:rFonts w:ascii="Tahoma" w:hAnsi="Tahoma" w:cs="Tahoma"/>
                <w:sz w:val="20"/>
                <w:szCs w:val="20"/>
              </w:rPr>
              <w:t>300</w:t>
            </w:r>
          </w:p>
        </w:tc>
        <w:tc>
          <w:tcPr>
            <w:tcW w:w="1740" w:type="dxa"/>
            <w:tcBorders>
              <w:top w:val="nil"/>
              <w:left w:val="nil"/>
              <w:bottom w:val="nil"/>
              <w:right w:val="single" w:sz="4" w:space="0" w:color="auto"/>
            </w:tcBorders>
            <w:shd w:val="clear" w:color="auto" w:fill="auto"/>
            <w:noWrap/>
            <w:vAlign w:val="bottom"/>
          </w:tcPr>
          <w:p w14:paraId="3129EEE6" w14:textId="77777777" w:rsidR="00936AF9" w:rsidRDefault="00936AF9" w:rsidP="00936AF9">
            <w:pPr>
              <w:jc w:val="center"/>
              <w:rPr>
                <w:rFonts w:ascii="Tahoma" w:hAnsi="Tahoma" w:cs="Tahoma"/>
                <w:sz w:val="20"/>
                <w:szCs w:val="20"/>
              </w:rPr>
            </w:pPr>
            <w:r>
              <w:rPr>
                <w:rFonts w:ascii="Tahoma" w:hAnsi="Tahoma" w:cs="Tahoma"/>
                <w:sz w:val="20"/>
                <w:szCs w:val="20"/>
              </w:rPr>
              <w:t>120</w:t>
            </w:r>
          </w:p>
        </w:tc>
      </w:tr>
      <w:tr w:rsidR="00936AF9" w14:paraId="7A75761B"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220B3E55" w14:textId="77777777" w:rsidR="00936AF9" w:rsidRDefault="00936AF9" w:rsidP="00936AF9">
            <w:pPr>
              <w:jc w:val="center"/>
              <w:rPr>
                <w:rFonts w:ascii="Tahoma" w:hAnsi="Tahoma" w:cs="Tahoma"/>
                <w:sz w:val="20"/>
                <w:szCs w:val="20"/>
              </w:rPr>
            </w:pPr>
            <w:r>
              <w:rPr>
                <w:rFonts w:ascii="Tahoma" w:hAnsi="Tahoma" w:cs="Tahoma"/>
                <w:sz w:val="20"/>
                <w:szCs w:val="20"/>
              </w:rPr>
              <w:t>-110</w:t>
            </w:r>
          </w:p>
        </w:tc>
        <w:tc>
          <w:tcPr>
            <w:tcW w:w="1780" w:type="dxa"/>
            <w:tcBorders>
              <w:top w:val="nil"/>
              <w:left w:val="nil"/>
              <w:bottom w:val="nil"/>
              <w:right w:val="single" w:sz="4" w:space="0" w:color="auto"/>
            </w:tcBorders>
            <w:shd w:val="clear" w:color="auto" w:fill="auto"/>
            <w:noWrap/>
            <w:vAlign w:val="bottom"/>
          </w:tcPr>
          <w:p w14:paraId="2462FB4D" w14:textId="77777777" w:rsidR="00936AF9" w:rsidRDefault="00936AF9" w:rsidP="00936AF9">
            <w:pPr>
              <w:jc w:val="center"/>
              <w:rPr>
                <w:rFonts w:ascii="Tahoma" w:hAnsi="Tahoma" w:cs="Tahoma"/>
                <w:sz w:val="20"/>
                <w:szCs w:val="20"/>
              </w:rPr>
            </w:pPr>
            <w:r>
              <w:rPr>
                <w:rFonts w:ascii="Tahoma" w:hAnsi="Tahoma" w:cs="Tahoma"/>
                <w:sz w:val="20"/>
                <w:szCs w:val="20"/>
              </w:rPr>
              <w:t>290</w:t>
            </w:r>
          </w:p>
        </w:tc>
        <w:tc>
          <w:tcPr>
            <w:tcW w:w="1740" w:type="dxa"/>
            <w:tcBorders>
              <w:top w:val="nil"/>
              <w:left w:val="nil"/>
              <w:bottom w:val="nil"/>
              <w:right w:val="single" w:sz="4" w:space="0" w:color="auto"/>
            </w:tcBorders>
            <w:shd w:val="clear" w:color="auto" w:fill="auto"/>
            <w:noWrap/>
            <w:vAlign w:val="bottom"/>
          </w:tcPr>
          <w:p w14:paraId="044F8A33" w14:textId="77777777" w:rsidR="00936AF9" w:rsidRDefault="00936AF9" w:rsidP="00936AF9">
            <w:pPr>
              <w:jc w:val="center"/>
              <w:rPr>
                <w:rFonts w:ascii="Tahoma" w:hAnsi="Tahoma" w:cs="Tahoma"/>
                <w:sz w:val="20"/>
                <w:szCs w:val="20"/>
              </w:rPr>
            </w:pPr>
            <w:r>
              <w:rPr>
                <w:rFonts w:ascii="Tahoma" w:hAnsi="Tahoma" w:cs="Tahoma"/>
                <w:sz w:val="20"/>
                <w:szCs w:val="20"/>
              </w:rPr>
              <w:t>110</w:t>
            </w:r>
          </w:p>
        </w:tc>
      </w:tr>
      <w:tr w:rsidR="00936AF9" w14:paraId="3AD4651C"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740D0C4" w14:textId="77777777" w:rsidR="00936AF9" w:rsidRDefault="00936AF9" w:rsidP="00936AF9">
            <w:pPr>
              <w:jc w:val="center"/>
              <w:rPr>
                <w:rFonts w:ascii="Tahoma" w:hAnsi="Tahoma" w:cs="Tahoma"/>
                <w:sz w:val="20"/>
                <w:szCs w:val="20"/>
              </w:rPr>
            </w:pPr>
            <w:r>
              <w:rPr>
                <w:rFonts w:ascii="Tahoma" w:hAnsi="Tahoma" w:cs="Tahoma"/>
                <w:sz w:val="20"/>
                <w:szCs w:val="20"/>
              </w:rPr>
              <w:t>-100</w:t>
            </w:r>
          </w:p>
        </w:tc>
        <w:tc>
          <w:tcPr>
            <w:tcW w:w="1780" w:type="dxa"/>
            <w:tcBorders>
              <w:top w:val="nil"/>
              <w:left w:val="nil"/>
              <w:bottom w:val="nil"/>
              <w:right w:val="single" w:sz="4" w:space="0" w:color="auto"/>
            </w:tcBorders>
            <w:shd w:val="clear" w:color="auto" w:fill="auto"/>
            <w:noWrap/>
            <w:vAlign w:val="bottom"/>
          </w:tcPr>
          <w:p w14:paraId="5C95927E" w14:textId="77777777" w:rsidR="00936AF9" w:rsidRDefault="00936AF9" w:rsidP="00936AF9">
            <w:pPr>
              <w:jc w:val="center"/>
              <w:rPr>
                <w:rFonts w:ascii="Tahoma" w:hAnsi="Tahoma" w:cs="Tahoma"/>
                <w:sz w:val="20"/>
                <w:szCs w:val="20"/>
              </w:rPr>
            </w:pPr>
            <w:r>
              <w:rPr>
                <w:rFonts w:ascii="Tahoma" w:hAnsi="Tahoma" w:cs="Tahoma"/>
                <w:sz w:val="20"/>
                <w:szCs w:val="20"/>
              </w:rPr>
              <w:t>280</w:t>
            </w:r>
          </w:p>
        </w:tc>
        <w:tc>
          <w:tcPr>
            <w:tcW w:w="1740" w:type="dxa"/>
            <w:tcBorders>
              <w:top w:val="nil"/>
              <w:left w:val="nil"/>
              <w:bottom w:val="nil"/>
              <w:right w:val="single" w:sz="4" w:space="0" w:color="auto"/>
            </w:tcBorders>
            <w:shd w:val="clear" w:color="auto" w:fill="auto"/>
            <w:noWrap/>
            <w:vAlign w:val="bottom"/>
          </w:tcPr>
          <w:p w14:paraId="7121DAD1" w14:textId="77777777" w:rsidR="00936AF9" w:rsidRDefault="00936AF9" w:rsidP="00936AF9">
            <w:pPr>
              <w:jc w:val="center"/>
              <w:rPr>
                <w:rFonts w:ascii="Tahoma" w:hAnsi="Tahoma" w:cs="Tahoma"/>
                <w:sz w:val="20"/>
                <w:szCs w:val="20"/>
              </w:rPr>
            </w:pPr>
            <w:r>
              <w:rPr>
                <w:rFonts w:ascii="Tahoma" w:hAnsi="Tahoma" w:cs="Tahoma"/>
                <w:sz w:val="20"/>
                <w:szCs w:val="20"/>
              </w:rPr>
              <w:t>100</w:t>
            </w:r>
          </w:p>
        </w:tc>
      </w:tr>
      <w:tr w:rsidR="00936AF9" w14:paraId="20CD858B"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137AD48" w14:textId="77777777" w:rsidR="00936AF9" w:rsidRDefault="00936AF9" w:rsidP="00936AF9">
            <w:pPr>
              <w:jc w:val="center"/>
              <w:rPr>
                <w:rFonts w:ascii="Tahoma" w:hAnsi="Tahoma" w:cs="Tahoma"/>
                <w:sz w:val="20"/>
                <w:szCs w:val="20"/>
              </w:rPr>
            </w:pPr>
            <w:r>
              <w:rPr>
                <w:rFonts w:ascii="Tahoma" w:hAnsi="Tahoma" w:cs="Tahoma"/>
                <w:sz w:val="20"/>
                <w:szCs w:val="20"/>
              </w:rPr>
              <w:t>-90</w:t>
            </w:r>
          </w:p>
        </w:tc>
        <w:tc>
          <w:tcPr>
            <w:tcW w:w="1780" w:type="dxa"/>
            <w:tcBorders>
              <w:top w:val="nil"/>
              <w:left w:val="nil"/>
              <w:bottom w:val="nil"/>
              <w:right w:val="single" w:sz="4" w:space="0" w:color="auto"/>
            </w:tcBorders>
            <w:shd w:val="clear" w:color="auto" w:fill="auto"/>
            <w:noWrap/>
            <w:vAlign w:val="bottom"/>
          </w:tcPr>
          <w:p w14:paraId="4FFF48EB" w14:textId="77777777" w:rsidR="00936AF9" w:rsidRDefault="00936AF9" w:rsidP="00936AF9">
            <w:pPr>
              <w:jc w:val="center"/>
              <w:rPr>
                <w:rFonts w:ascii="Tahoma" w:hAnsi="Tahoma" w:cs="Tahoma"/>
                <w:sz w:val="20"/>
                <w:szCs w:val="20"/>
              </w:rPr>
            </w:pPr>
            <w:r>
              <w:rPr>
                <w:rFonts w:ascii="Tahoma" w:hAnsi="Tahoma" w:cs="Tahoma"/>
                <w:sz w:val="20"/>
                <w:szCs w:val="20"/>
              </w:rPr>
              <w:t>270</w:t>
            </w:r>
          </w:p>
        </w:tc>
        <w:tc>
          <w:tcPr>
            <w:tcW w:w="1740" w:type="dxa"/>
            <w:tcBorders>
              <w:top w:val="nil"/>
              <w:left w:val="nil"/>
              <w:bottom w:val="nil"/>
              <w:right w:val="single" w:sz="4" w:space="0" w:color="auto"/>
            </w:tcBorders>
            <w:shd w:val="clear" w:color="auto" w:fill="auto"/>
            <w:noWrap/>
            <w:vAlign w:val="bottom"/>
          </w:tcPr>
          <w:p w14:paraId="0F9D4E32" w14:textId="77777777" w:rsidR="00936AF9" w:rsidRDefault="00936AF9" w:rsidP="00936AF9">
            <w:pPr>
              <w:jc w:val="center"/>
              <w:rPr>
                <w:rFonts w:ascii="Tahoma" w:hAnsi="Tahoma" w:cs="Tahoma"/>
                <w:sz w:val="20"/>
                <w:szCs w:val="20"/>
              </w:rPr>
            </w:pPr>
            <w:r>
              <w:rPr>
                <w:rFonts w:ascii="Tahoma" w:hAnsi="Tahoma" w:cs="Tahoma"/>
                <w:sz w:val="20"/>
                <w:szCs w:val="20"/>
              </w:rPr>
              <w:t>90</w:t>
            </w:r>
          </w:p>
        </w:tc>
      </w:tr>
      <w:tr w:rsidR="00936AF9" w14:paraId="069B7943"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788F3E0" w14:textId="77777777" w:rsidR="00936AF9" w:rsidRDefault="00936AF9" w:rsidP="00936AF9">
            <w:pPr>
              <w:jc w:val="center"/>
              <w:rPr>
                <w:rFonts w:ascii="Tahoma" w:hAnsi="Tahoma" w:cs="Tahoma"/>
                <w:sz w:val="20"/>
                <w:szCs w:val="20"/>
              </w:rPr>
            </w:pPr>
            <w:r>
              <w:rPr>
                <w:rFonts w:ascii="Tahoma" w:hAnsi="Tahoma" w:cs="Tahoma"/>
                <w:sz w:val="20"/>
                <w:szCs w:val="20"/>
              </w:rPr>
              <w:t>-80</w:t>
            </w:r>
          </w:p>
        </w:tc>
        <w:tc>
          <w:tcPr>
            <w:tcW w:w="1780" w:type="dxa"/>
            <w:tcBorders>
              <w:top w:val="nil"/>
              <w:left w:val="nil"/>
              <w:bottom w:val="nil"/>
              <w:right w:val="single" w:sz="4" w:space="0" w:color="auto"/>
            </w:tcBorders>
            <w:shd w:val="clear" w:color="auto" w:fill="auto"/>
            <w:noWrap/>
            <w:vAlign w:val="bottom"/>
          </w:tcPr>
          <w:p w14:paraId="2C008BB4" w14:textId="77777777" w:rsidR="00936AF9" w:rsidRDefault="00936AF9" w:rsidP="00936AF9">
            <w:pPr>
              <w:jc w:val="center"/>
              <w:rPr>
                <w:rFonts w:ascii="Tahoma" w:hAnsi="Tahoma" w:cs="Tahoma"/>
                <w:sz w:val="20"/>
                <w:szCs w:val="20"/>
              </w:rPr>
            </w:pPr>
            <w:r>
              <w:rPr>
                <w:rFonts w:ascii="Tahoma" w:hAnsi="Tahoma" w:cs="Tahoma"/>
                <w:sz w:val="20"/>
                <w:szCs w:val="20"/>
              </w:rPr>
              <w:t>260</w:t>
            </w:r>
          </w:p>
        </w:tc>
        <w:tc>
          <w:tcPr>
            <w:tcW w:w="1740" w:type="dxa"/>
            <w:tcBorders>
              <w:top w:val="nil"/>
              <w:left w:val="nil"/>
              <w:bottom w:val="nil"/>
              <w:right w:val="single" w:sz="4" w:space="0" w:color="auto"/>
            </w:tcBorders>
            <w:shd w:val="clear" w:color="auto" w:fill="auto"/>
            <w:noWrap/>
            <w:vAlign w:val="bottom"/>
          </w:tcPr>
          <w:p w14:paraId="2BFC3C21" w14:textId="77777777" w:rsidR="00936AF9" w:rsidRDefault="00936AF9" w:rsidP="00936AF9">
            <w:pPr>
              <w:jc w:val="center"/>
              <w:rPr>
                <w:rFonts w:ascii="Tahoma" w:hAnsi="Tahoma" w:cs="Tahoma"/>
                <w:sz w:val="20"/>
                <w:szCs w:val="20"/>
              </w:rPr>
            </w:pPr>
            <w:r>
              <w:rPr>
                <w:rFonts w:ascii="Tahoma" w:hAnsi="Tahoma" w:cs="Tahoma"/>
                <w:sz w:val="20"/>
                <w:szCs w:val="20"/>
              </w:rPr>
              <w:t>80</w:t>
            </w:r>
          </w:p>
        </w:tc>
      </w:tr>
      <w:tr w:rsidR="00936AF9" w14:paraId="539A503A"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587A675" w14:textId="77777777" w:rsidR="00936AF9" w:rsidRDefault="00936AF9" w:rsidP="00936AF9">
            <w:pPr>
              <w:jc w:val="center"/>
              <w:rPr>
                <w:rFonts w:ascii="Tahoma" w:hAnsi="Tahoma" w:cs="Tahoma"/>
                <w:sz w:val="20"/>
                <w:szCs w:val="20"/>
              </w:rPr>
            </w:pPr>
            <w:r>
              <w:rPr>
                <w:rFonts w:ascii="Tahoma" w:hAnsi="Tahoma" w:cs="Tahoma"/>
                <w:sz w:val="20"/>
                <w:szCs w:val="20"/>
              </w:rPr>
              <w:t>-70</w:t>
            </w:r>
          </w:p>
        </w:tc>
        <w:tc>
          <w:tcPr>
            <w:tcW w:w="1780" w:type="dxa"/>
            <w:tcBorders>
              <w:top w:val="nil"/>
              <w:left w:val="nil"/>
              <w:bottom w:val="nil"/>
              <w:right w:val="single" w:sz="4" w:space="0" w:color="auto"/>
            </w:tcBorders>
            <w:shd w:val="clear" w:color="auto" w:fill="auto"/>
            <w:noWrap/>
            <w:vAlign w:val="bottom"/>
          </w:tcPr>
          <w:p w14:paraId="100982F1" w14:textId="77777777" w:rsidR="00936AF9" w:rsidRDefault="00936AF9" w:rsidP="00936AF9">
            <w:pPr>
              <w:jc w:val="center"/>
              <w:rPr>
                <w:rFonts w:ascii="Tahoma" w:hAnsi="Tahoma" w:cs="Tahoma"/>
                <w:sz w:val="20"/>
                <w:szCs w:val="20"/>
              </w:rPr>
            </w:pPr>
            <w:r>
              <w:rPr>
                <w:rFonts w:ascii="Tahoma" w:hAnsi="Tahoma" w:cs="Tahoma"/>
                <w:sz w:val="20"/>
                <w:szCs w:val="20"/>
              </w:rPr>
              <w:t>250</w:t>
            </w:r>
          </w:p>
        </w:tc>
        <w:tc>
          <w:tcPr>
            <w:tcW w:w="1740" w:type="dxa"/>
            <w:tcBorders>
              <w:top w:val="nil"/>
              <w:left w:val="nil"/>
              <w:bottom w:val="nil"/>
              <w:right w:val="single" w:sz="4" w:space="0" w:color="auto"/>
            </w:tcBorders>
            <w:shd w:val="clear" w:color="auto" w:fill="auto"/>
            <w:noWrap/>
            <w:vAlign w:val="bottom"/>
          </w:tcPr>
          <w:p w14:paraId="57F10003" w14:textId="77777777" w:rsidR="00936AF9" w:rsidRDefault="00936AF9" w:rsidP="00936AF9">
            <w:pPr>
              <w:jc w:val="center"/>
              <w:rPr>
                <w:rFonts w:ascii="Tahoma" w:hAnsi="Tahoma" w:cs="Tahoma"/>
                <w:sz w:val="20"/>
                <w:szCs w:val="20"/>
              </w:rPr>
            </w:pPr>
            <w:r>
              <w:rPr>
                <w:rFonts w:ascii="Tahoma" w:hAnsi="Tahoma" w:cs="Tahoma"/>
                <w:sz w:val="20"/>
                <w:szCs w:val="20"/>
              </w:rPr>
              <w:t>70</w:t>
            </w:r>
          </w:p>
        </w:tc>
      </w:tr>
      <w:tr w:rsidR="00936AF9" w14:paraId="7EA5E33C"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62049271" w14:textId="77777777" w:rsidR="00936AF9" w:rsidRDefault="00936AF9" w:rsidP="00936AF9">
            <w:pPr>
              <w:jc w:val="center"/>
              <w:rPr>
                <w:rFonts w:ascii="Tahoma" w:hAnsi="Tahoma" w:cs="Tahoma"/>
                <w:sz w:val="20"/>
                <w:szCs w:val="20"/>
              </w:rPr>
            </w:pPr>
            <w:r>
              <w:rPr>
                <w:rFonts w:ascii="Tahoma" w:hAnsi="Tahoma" w:cs="Tahoma"/>
                <w:sz w:val="20"/>
                <w:szCs w:val="20"/>
              </w:rPr>
              <w:t>-60</w:t>
            </w:r>
          </w:p>
        </w:tc>
        <w:tc>
          <w:tcPr>
            <w:tcW w:w="1780" w:type="dxa"/>
            <w:tcBorders>
              <w:top w:val="nil"/>
              <w:left w:val="nil"/>
              <w:bottom w:val="nil"/>
              <w:right w:val="single" w:sz="4" w:space="0" w:color="auto"/>
            </w:tcBorders>
            <w:shd w:val="clear" w:color="auto" w:fill="auto"/>
            <w:noWrap/>
            <w:vAlign w:val="bottom"/>
          </w:tcPr>
          <w:p w14:paraId="6472DCEE" w14:textId="77777777" w:rsidR="00936AF9" w:rsidRDefault="00936AF9" w:rsidP="00936AF9">
            <w:pPr>
              <w:jc w:val="center"/>
              <w:rPr>
                <w:rFonts w:ascii="Tahoma" w:hAnsi="Tahoma" w:cs="Tahoma"/>
                <w:sz w:val="20"/>
                <w:szCs w:val="20"/>
              </w:rPr>
            </w:pPr>
            <w:r>
              <w:rPr>
                <w:rFonts w:ascii="Tahoma" w:hAnsi="Tahoma" w:cs="Tahoma"/>
                <w:sz w:val="20"/>
                <w:szCs w:val="20"/>
              </w:rPr>
              <w:t>240</w:t>
            </w:r>
          </w:p>
        </w:tc>
        <w:tc>
          <w:tcPr>
            <w:tcW w:w="1740" w:type="dxa"/>
            <w:tcBorders>
              <w:top w:val="nil"/>
              <w:left w:val="nil"/>
              <w:bottom w:val="nil"/>
              <w:right w:val="single" w:sz="4" w:space="0" w:color="auto"/>
            </w:tcBorders>
            <w:shd w:val="clear" w:color="auto" w:fill="auto"/>
            <w:noWrap/>
            <w:vAlign w:val="bottom"/>
          </w:tcPr>
          <w:p w14:paraId="2592752C" w14:textId="77777777" w:rsidR="00936AF9" w:rsidRDefault="00936AF9" w:rsidP="00936AF9">
            <w:pPr>
              <w:jc w:val="center"/>
              <w:rPr>
                <w:rFonts w:ascii="Tahoma" w:hAnsi="Tahoma" w:cs="Tahoma"/>
                <w:sz w:val="20"/>
                <w:szCs w:val="20"/>
              </w:rPr>
            </w:pPr>
            <w:r>
              <w:rPr>
                <w:rFonts w:ascii="Tahoma" w:hAnsi="Tahoma" w:cs="Tahoma"/>
                <w:sz w:val="20"/>
                <w:szCs w:val="20"/>
              </w:rPr>
              <w:t>60</w:t>
            </w:r>
          </w:p>
        </w:tc>
      </w:tr>
      <w:tr w:rsidR="00936AF9" w14:paraId="50404924"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3D0B7539" w14:textId="77777777" w:rsidR="00936AF9" w:rsidRDefault="00936AF9" w:rsidP="00936AF9">
            <w:pPr>
              <w:jc w:val="center"/>
              <w:rPr>
                <w:rFonts w:ascii="Tahoma" w:hAnsi="Tahoma" w:cs="Tahoma"/>
                <w:sz w:val="20"/>
                <w:szCs w:val="20"/>
              </w:rPr>
            </w:pPr>
            <w:r>
              <w:rPr>
                <w:rFonts w:ascii="Tahoma" w:hAnsi="Tahoma" w:cs="Tahoma"/>
                <w:sz w:val="20"/>
                <w:szCs w:val="20"/>
              </w:rPr>
              <w:t>-50</w:t>
            </w:r>
          </w:p>
        </w:tc>
        <w:tc>
          <w:tcPr>
            <w:tcW w:w="1780" w:type="dxa"/>
            <w:tcBorders>
              <w:top w:val="nil"/>
              <w:left w:val="nil"/>
              <w:bottom w:val="nil"/>
              <w:right w:val="single" w:sz="4" w:space="0" w:color="auto"/>
            </w:tcBorders>
            <w:shd w:val="clear" w:color="auto" w:fill="auto"/>
            <w:noWrap/>
            <w:vAlign w:val="bottom"/>
          </w:tcPr>
          <w:p w14:paraId="7B9CF26E" w14:textId="77777777" w:rsidR="00936AF9" w:rsidRDefault="00936AF9" w:rsidP="00936AF9">
            <w:pPr>
              <w:jc w:val="center"/>
              <w:rPr>
                <w:rFonts w:ascii="Tahoma" w:hAnsi="Tahoma" w:cs="Tahoma"/>
                <w:sz w:val="20"/>
                <w:szCs w:val="20"/>
              </w:rPr>
            </w:pPr>
            <w:r>
              <w:rPr>
                <w:rFonts w:ascii="Tahoma" w:hAnsi="Tahoma" w:cs="Tahoma"/>
                <w:sz w:val="20"/>
                <w:szCs w:val="20"/>
              </w:rPr>
              <w:t>230</w:t>
            </w:r>
          </w:p>
        </w:tc>
        <w:tc>
          <w:tcPr>
            <w:tcW w:w="1740" w:type="dxa"/>
            <w:tcBorders>
              <w:top w:val="nil"/>
              <w:left w:val="nil"/>
              <w:bottom w:val="nil"/>
              <w:right w:val="single" w:sz="4" w:space="0" w:color="auto"/>
            </w:tcBorders>
            <w:shd w:val="clear" w:color="auto" w:fill="auto"/>
            <w:noWrap/>
            <w:vAlign w:val="bottom"/>
          </w:tcPr>
          <w:p w14:paraId="4F0D6749" w14:textId="77777777" w:rsidR="00936AF9" w:rsidRDefault="00936AF9" w:rsidP="00936AF9">
            <w:pPr>
              <w:jc w:val="center"/>
              <w:rPr>
                <w:rFonts w:ascii="Tahoma" w:hAnsi="Tahoma" w:cs="Tahoma"/>
                <w:sz w:val="20"/>
                <w:szCs w:val="20"/>
              </w:rPr>
            </w:pPr>
            <w:r>
              <w:rPr>
                <w:rFonts w:ascii="Tahoma" w:hAnsi="Tahoma" w:cs="Tahoma"/>
                <w:sz w:val="20"/>
                <w:szCs w:val="20"/>
              </w:rPr>
              <w:t>50</w:t>
            </w:r>
          </w:p>
        </w:tc>
      </w:tr>
      <w:tr w:rsidR="00936AF9" w14:paraId="4995FC39"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4D42B9F4" w14:textId="77777777" w:rsidR="00936AF9" w:rsidRDefault="00936AF9" w:rsidP="00936AF9">
            <w:pPr>
              <w:jc w:val="center"/>
              <w:rPr>
                <w:rFonts w:ascii="Tahoma" w:hAnsi="Tahoma" w:cs="Tahoma"/>
                <w:sz w:val="20"/>
                <w:szCs w:val="20"/>
              </w:rPr>
            </w:pPr>
            <w:r>
              <w:rPr>
                <w:rFonts w:ascii="Tahoma" w:hAnsi="Tahoma" w:cs="Tahoma"/>
                <w:sz w:val="20"/>
                <w:szCs w:val="20"/>
              </w:rPr>
              <w:t>-40</w:t>
            </w:r>
          </w:p>
        </w:tc>
        <w:tc>
          <w:tcPr>
            <w:tcW w:w="1780" w:type="dxa"/>
            <w:tcBorders>
              <w:top w:val="nil"/>
              <w:left w:val="nil"/>
              <w:bottom w:val="nil"/>
              <w:right w:val="single" w:sz="4" w:space="0" w:color="auto"/>
            </w:tcBorders>
            <w:shd w:val="clear" w:color="auto" w:fill="auto"/>
            <w:noWrap/>
            <w:vAlign w:val="bottom"/>
          </w:tcPr>
          <w:p w14:paraId="13E4913F" w14:textId="77777777" w:rsidR="00936AF9" w:rsidRDefault="00936AF9" w:rsidP="00936AF9">
            <w:pPr>
              <w:jc w:val="center"/>
              <w:rPr>
                <w:rFonts w:ascii="Tahoma" w:hAnsi="Tahoma" w:cs="Tahoma"/>
                <w:sz w:val="20"/>
                <w:szCs w:val="20"/>
              </w:rPr>
            </w:pPr>
            <w:r>
              <w:rPr>
                <w:rFonts w:ascii="Tahoma" w:hAnsi="Tahoma" w:cs="Tahoma"/>
                <w:sz w:val="20"/>
                <w:szCs w:val="20"/>
              </w:rPr>
              <w:t>220</w:t>
            </w:r>
          </w:p>
        </w:tc>
        <w:tc>
          <w:tcPr>
            <w:tcW w:w="1740" w:type="dxa"/>
            <w:tcBorders>
              <w:top w:val="nil"/>
              <w:left w:val="nil"/>
              <w:bottom w:val="nil"/>
              <w:right w:val="single" w:sz="4" w:space="0" w:color="auto"/>
            </w:tcBorders>
            <w:shd w:val="clear" w:color="auto" w:fill="auto"/>
            <w:noWrap/>
            <w:vAlign w:val="bottom"/>
          </w:tcPr>
          <w:p w14:paraId="42A4DBED" w14:textId="77777777" w:rsidR="00936AF9" w:rsidRDefault="00936AF9" w:rsidP="00936AF9">
            <w:pPr>
              <w:jc w:val="center"/>
              <w:rPr>
                <w:rFonts w:ascii="Tahoma" w:hAnsi="Tahoma" w:cs="Tahoma"/>
                <w:sz w:val="20"/>
                <w:szCs w:val="20"/>
              </w:rPr>
            </w:pPr>
            <w:r>
              <w:rPr>
                <w:rFonts w:ascii="Tahoma" w:hAnsi="Tahoma" w:cs="Tahoma"/>
                <w:sz w:val="20"/>
                <w:szCs w:val="20"/>
              </w:rPr>
              <w:t>40</w:t>
            </w:r>
          </w:p>
        </w:tc>
      </w:tr>
      <w:tr w:rsidR="00936AF9" w14:paraId="643AEDE9"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9F9EA7B" w14:textId="77777777" w:rsidR="00936AF9" w:rsidRDefault="00936AF9" w:rsidP="00936AF9">
            <w:pPr>
              <w:jc w:val="center"/>
              <w:rPr>
                <w:rFonts w:ascii="Tahoma" w:hAnsi="Tahoma" w:cs="Tahoma"/>
                <w:sz w:val="20"/>
                <w:szCs w:val="20"/>
              </w:rPr>
            </w:pPr>
            <w:r>
              <w:rPr>
                <w:rFonts w:ascii="Tahoma" w:hAnsi="Tahoma" w:cs="Tahoma"/>
                <w:sz w:val="20"/>
                <w:szCs w:val="20"/>
              </w:rPr>
              <w:t>-30</w:t>
            </w:r>
          </w:p>
        </w:tc>
        <w:tc>
          <w:tcPr>
            <w:tcW w:w="1780" w:type="dxa"/>
            <w:tcBorders>
              <w:top w:val="nil"/>
              <w:left w:val="nil"/>
              <w:bottom w:val="nil"/>
              <w:right w:val="single" w:sz="4" w:space="0" w:color="auto"/>
            </w:tcBorders>
            <w:shd w:val="clear" w:color="auto" w:fill="auto"/>
            <w:noWrap/>
            <w:vAlign w:val="bottom"/>
          </w:tcPr>
          <w:p w14:paraId="23A52702" w14:textId="77777777" w:rsidR="00936AF9" w:rsidRDefault="00936AF9" w:rsidP="00936AF9">
            <w:pPr>
              <w:jc w:val="center"/>
              <w:rPr>
                <w:rFonts w:ascii="Tahoma" w:hAnsi="Tahoma" w:cs="Tahoma"/>
                <w:sz w:val="20"/>
                <w:szCs w:val="20"/>
              </w:rPr>
            </w:pPr>
            <w:r>
              <w:rPr>
                <w:rFonts w:ascii="Tahoma" w:hAnsi="Tahoma" w:cs="Tahoma"/>
                <w:sz w:val="20"/>
                <w:szCs w:val="20"/>
              </w:rPr>
              <w:t>210</w:t>
            </w:r>
          </w:p>
        </w:tc>
        <w:tc>
          <w:tcPr>
            <w:tcW w:w="1740" w:type="dxa"/>
            <w:tcBorders>
              <w:top w:val="nil"/>
              <w:left w:val="nil"/>
              <w:bottom w:val="nil"/>
              <w:right w:val="single" w:sz="4" w:space="0" w:color="auto"/>
            </w:tcBorders>
            <w:shd w:val="clear" w:color="auto" w:fill="auto"/>
            <w:noWrap/>
            <w:vAlign w:val="bottom"/>
          </w:tcPr>
          <w:p w14:paraId="11D645A8" w14:textId="77777777" w:rsidR="00936AF9" w:rsidRDefault="00936AF9" w:rsidP="00936AF9">
            <w:pPr>
              <w:jc w:val="center"/>
              <w:rPr>
                <w:rFonts w:ascii="Tahoma" w:hAnsi="Tahoma" w:cs="Tahoma"/>
                <w:sz w:val="20"/>
                <w:szCs w:val="20"/>
              </w:rPr>
            </w:pPr>
            <w:r>
              <w:rPr>
                <w:rFonts w:ascii="Tahoma" w:hAnsi="Tahoma" w:cs="Tahoma"/>
                <w:sz w:val="20"/>
                <w:szCs w:val="20"/>
              </w:rPr>
              <w:t>30</w:t>
            </w:r>
          </w:p>
        </w:tc>
      </w:tr>
      <w:tr w:rsidR="00936AF9" w14:paraId="0EB6661F"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43C5E01B" w14:textId="77777777" w:rsidR="00936AF9" w:rsidRDefault="00936AF9" w:rsidP="00936AF9">
            <w:pPr>
              <w:jc w:val="center"/>
              <w:rPr>
                <w:rFonts w:ascii="Tahoma" w:hAnsi="Tahoma" w:cs="Tahoma"/>
                <w:sz w:val="20"/>
                <w:szCs w:val="20"/>
              </w:rPr>
            </w:pPr>
            <w:r>
              <w:rPr>
                <w:rFonts w:ascii="Tahoma" w:hAnsi="Tahoma" w:cs="Tahoma"/>
                <w:sz w:val="20"/>
                <w:szCs w:val="20"/>
              </w:rPr>
              <w:t>-20</w:t>
            </w:r>
          </w:p>
        </w:tc>
        <w:tc>
          <w:tcPr>
            <w:tcW w:w="1780" w:type="dxa"/>
            <w:tcBorders>
              <w:top w:val="nil"/>
              <w:left w:val="nil"/>
              <w:bottom w:val="nil"/>
              <w:right w:val="single" w:sz="4" w:space="0" w:color="auto"/>
            </w:tcBorders>
            <w:shd w:val="clear" w:color="auto" w:fill="auto"/>
            <w:noWrap/>
            <w:vAlign w:val="bottom"/>
          </w:tcPr>
          <w:p w14:paraId="19334B32" w14:textId="77777777" w:rsidR="00936AF9" w:rsidRDefault="00936AF9" w:rsidP="00936AF9">
            <w:pPr>
              <w:jc w:val="center"/>
              <w:rPr>
                <w:rFonts w:ascii="Tahoma" w:hAnsi="Tahoma" w:cs="Tahoma"/>
                <w:sz w:val="20"/>
                <w:szCs w:val="20"/>
              </w:rPr>
            </w:pPr>
            <w:r>
              <w:rPr>
                <w:rFonts w:ascii="Tahoma" w:hAnsi="Tahoma" w:cs="Tahoma"/>
                <w:sz w:val="20"/>
                <w:szCs w:val="20"/>
              </w:rPr>
              <w:t>200</w:t>
            </w:r>
          </w:p>
        </w:tc>
        <w:tc>
          <w:tcPr>
            <w:tcW w:w="1740" w:type="dxa"/>
            <w:tcBorders>
              <w:top w:val="nil"/>
              <w:left w:val="nil"/>
              <w:bottom w:val="nil"/>
              <w:right w:val="single" w:sz="4" w:space="0" w:color="auto"/>
            </w:tcBorders>
            <w:shd w:val="clear" w:color="auto" w:fill="auto"/>
            <w:noWrap/>
            <w:vAlign w:val="bottom"/>
          </w:tcPr>
          <w:p w14:paraId="5FD87968" w14:textId="77777777" w:rsidR="00936AF9" w:rsidRDefault="00936AF9" w:rsidP="00936AF9">
            <w:pPr>
              <w:jc w:val="center"/>
              <w:rPr>
                <w:rFonts w:ascii="Tahoma" w:hAnsi="Tahoma" w:cs="Tahoma"/>
                <w:sz w:val="20"/>
                <w:szCs w:val="20"/>
              </w:rPr>
            </w:pPr>
            <w:r>
              <w:rPr>
                <w:rFonts w:ascii="Tahoma" w:hAnsi="Tahoma" w:cs="Tahoma"/>
                <w:sz w:val="20"/>
                <w:szCs w:val="20"/>
              </w:rPr>
              <w:t>20</w:t>
            </w:r>
          </w:p>
        </w:tc>
      </w:tr>
      <w:tr w:rsidR="00936AF9" w14:paraId="55A940E3"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67876DA" w14:textId="77777777" w:rsidR="00936AF9" w:rsidRDefault="00936AF9" w:rsidP="00936AF9">
            <w:pPr>
              <w:jc w:val="center"/>
              <w:rPr>
                <w:rFonts w:ascii="Tahoma" w:hAnsi="Tahoma" w:cs="Tahoma"/>
                <w:sz w:val="20"/>
                <w:szCs w:val="20"/>
              </w:rPr>
            </w:pPr>
            <w:r>
              <w:rPr>
                <w:rFonts w:ascii="Tahoma" w:hAnsi="Tahoma" w:cs="Tahoma"/>
                <w:sz w:val="20"/>
                <w:szCs w:val="20"/>
              </w:rPr>
              <w:t>-10</w:t>
            </w:r>
          </w:p>
        </w:tc>
        <w:tc>
          <w:tcPr>
            <w:tcW w:w="1780" w:type="dxa"/>
            <w:tcBorders>
              <w:top w:val="nil"/>
              <w:left w:val="nil"/>
              <w:bottom w:val="nil"/>
              <w:right w:val="single" w:sz="4" w:space="0" w:color="auto"/>
            </w:tcBorders>
            <w:shd w:val="clear" w:color="auto" w:fill="auto"/>
            <w:noWrap/>
            <w:vAlign w:val="bottom"/>
          </w:tcPr>
          <w:p w14:paraId="56743687" w14:textId="77777777" w:rsidR="00936AF9" w:rsidRDefault="00936AF9" w:rsidP="00936AF9">
            <w:pPr>
              <w:jc w:val="center"/>
              <w:rPr>
                <w:rFonts w:ascii="Tahoma" w:hAnsi="Tahoma" w:cs="Tahoma"/>
                <w:sz w:val="20"/>
                <w:szCs w:val="20"/>
              </w:rPr>
            </w:pPr>
            <w:r>
              <w:rPr>
                <w:rFonts w:ascii="Tahoma" w:hAnsi="Tahoma" w:cs="Tahoma"/>
                <w:sz w:val="20"/>
                <w:szCs w:val="20"/>
              </w:rPr>
              <w:t>190</w:t>
            </w:r>
          </w:p>
        </w:tc>
        <w:tc>
          <w:tcPr>
            <w:tcW w:w="1740" w:type="dxa"/>
            <w:tcBorders>
              <w:top w:val="nil"/>
              <w:left w:val="nil"/>
              <w:bottom w:val="nil"/>
              <w:right w:val="single" w:sz="4" w:space="0" w:color="auto"/>
            </w:tcBorders>
            <w:shd w:val="clear" w:color="auto" w:fill="auto"/>
            <w:noWrap/>
            <w:vAlign w:val="bottom"/>
          </w:tcPr>
          <w:p w14:paraId="435CAEC3" w14:textId="77777777" w:rsidR="00936AF9" w:rsidRDefault="00936AF9" w:rsidP="00936AF9">
            <w:pPr>
              <w:jc w:val="center"/>
              <w:rPr>
                <w:rFonts w:ascii="Tahoma" w:hAnsi="Tahoma" w:cs="Tahoma"/>
                <w:sz w:val="20"/>
                <w:szCs w:val="20"/>
              </w:rPr>
            </w:pPr>
            <w:r>
              <w:rPr>
                <w:rFonts w:ascii="Tahoma" w:hAnsi="Tahoma" w:cs="Tahoma"/>
                <w:sz w:val="20"/>
                <w:szCs w:val="20"/>
              </w:rPr>
              <w:t>10</w:t>
            </w:r>
          </w:p>
        </w:tc>
      </w:tr>
      <w:tr w:rsidR="00936AF9" w14:paraId="372F2861"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92B1A55" w14:textId="77777777" w:rsidR="00936AF9" w:rsidRDefault="00936AF9" w:rsidP="00936AF9">
            <w:pPr>
              <w:jc w:val="center"/>
              <w:rPr>
                <w:rFonts w:ascii="Tahoma" w:hAnsi="Tahoma" w:cs="Tahoma"/>
                <w:sz w:val="20"/>
                <w:szCs w:val="20"/>
              </w:rPr>
            </w:pPr>
            <w:r>
              <w:rPr>
                <w:rFonts w:ascii="Tahoma" w:hAnsi="Tahoma" w:cs="Tahoma"/>
                <w:sz w:val="20"/>
                <w:szCs w:val="20"/>
              </w:rPr>
              <w:t>0</w:t>
            </w:r>
          </w:p>
        </w:tc>
        <w:tc>
          <w:tcPr>
            <w:tcW w:w="1780" w:type="dxa"/>
            <w:tcBorders>
              <w:top w:val="nil"/>
              <w:left w:val="nil"/>
              <w:bottom w:val="nil"/>
              <w:right w:val="single" w:sz="4" w:space="0" w:color="auto"/>
            </w:tcBorders>
            <w:shd w:val="clear" w:color="auto" w:fill="auto"/>
            <w:noWrap/>
            <w:vAlign w:val="bottom"/>
          </w:tcPr>
          <w:p w14:paraId="659E0EDC" w14:textId="77777777" w:rsidR="00936AF9" w:rsidRDefault="00936AF9" w:rsidP="00936AF9">
            <w:pPr>
              <w:jc w:val="center"/>
              <w:rPr>
                <w:rFonts w:ascii="Tahoma" w:hAnsi="Tahoma" w:cs="Tahoma"/>
                <w:sz w:val="20"/>
                <w:szCs w:val="20"/>
              </w:rPr>
            </w:pPr>
            <w:r>
              <w:rPr>
                <w:rFonts w:ascii="Tahoma" w:hAnsi="Tahoma" w:cs="Tahoma"/>
                <w:sz w:val="20"/>
                <w:szCs w:val="20"/>
              </w:rPr>
              <w:t>180</w:t>
            </w:r>
          </w:p>
        </w:tc>
        <w:tc>
          <w:tcPr>
            <w:tcW w:w="1740" w:type="dxa"/>
            <w:tcBorders>
              <w:top w:val="nil"/>
              <w:left w:val="nil"/>
              <w:bottom w:val="nil"/>
              <w:right w:val="single" w:sz="4" w:space="0" w:color="auto"/>
            </w:tcBorders>
            <w:shd w:val="clear" w:color="auto" w:fill="auto"/>
            <w:noWrap/>
            <w:vAlign w:val="bottom"/>
          </w:tcPr>
          <w:p w14:paraId="7BAD01E8" w14:textId="77777777" w:rsidR="00936AF9" w:rsidRDefault="00936AF9" w:rsidP="00936AF9">
            <w:pPr>
              <w:jc w:val="center"/>
              <w:rPr>
                <w:rFonts w:ascii="Tahoma" w:hAnsi="Tahoma" w:cs="Tahoma"/>
                <w:sz w:val="20"/>
                <w:szCs w:val="20"/>
              </w:rPr>
            </w:pPr>
            <w:r>
              <w:rPr>
                <w:rFonts w:ascii="Tahoma" w:hAnsi="Tahoma" w:cs="Tahoma"/>
                <w:sz w:val="20"/>
                <w:szCs w:val="20"/>
              </w:rPr>
              <w:t>0</w:t>
            </w:r>
          </w:p>
        </w:tc>
      </w:tr>
      <w:tr w:rsidR="00936AF9" w14:paraId="16E13F29"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272CD7E6" w14:textId="77777777" w:rsidR="00936AF9" w:rsidRDefault="00936AF9" w:rsidP="00936AF9">
            <w:pPr>
              <w:jc w:val="center"/>
              <w:rPr>
                <w:rFonts w:ascii="Tahoma" w:hAnsi="Tahoma" w:cs="Tahoma"/>
                <w:sz w:val="20"/>
                <w:szCs w:val="20"/>
              </w:rPr>
            </w:pPr>
            <w:r>
              <w:rPr>
                <w:rFonts w:ascii="Tahoma" w:hAnsi="Tahoma" w:cs="Tahoma"/>
                <w:sz w:val="20"/>
                <w:szCs w:val="20"/>
              </w:rPr>
              <w:t>10</w:t>
            </w:r>
          </w:p>
        </w:tc>
        <w:tc>
          <w:tcPr>
            <w:tcW w:w="1780" w:type="dxa"/>
            <w:tcBorders>
              <w:top w:val="nil"/>
              <w:left w:val="nil"/>
              <w:bottom w:val="nil"/>
              <w:right w:val="single" w:sz="4" w:space="0" w:color="auto"/>
            </w:tcBorders>
            <w:shd w:val="clear" w:color="auto" w:fill="auto"/>
            <w:noWrap/>
            <w:vAlign w:val="bottom"/>
          </w:tcPr>
          <w:p w14:paraId="7E63510B" w14:textId="77777777" w:rsidR="00936AF9" w:rsidRDefault="00936AF9" w:rsidP="00936AF9">
            <w:pPr>
              <w:jc w:val="center"/>
              <w:rPr>
                <w:rFonts w:ascii="Tahoma" w:hAnsi="Tahoma" w:cs="Tahoma"/>
                <w:sz w:val="20"/>
                <w:szCs w:val="20"/>
              </w:rPr>
            </w:pPr>
            <w:r>
              <w:rPr>
                <w:rFonts w:ascii="Tahoma" w:hAnsi="Tahoma" w:cs="Tahoma"/>
                <w:sz w:val="20"/>
                <w:szCs w:val="20"/>
              </w:rPr>
              <w:t>170</w:t>
            </w:r>
          </w:p>
        </w:tc>
        <w:tc>
          <w:tcPr>
            <w:tcW w:w="1740" w:type="dxa"/>
            <w:tcBorders>
              <w:top w:val="nil"/>
              <w:left w:val="nil"/>
              <w:bottom w:val="nil"/>
              <w:right w:val="single" w:sz="4" w:space="0" w:color="auto"/>
            </w:tcBorders>
            <w:shd w:val="clear" w:color="auto" w:fill="auto"/>
            <w:noWrap/>
            <w:vAlign w:val="bottom"/>
          </w:tcPr>
          <w:p w14:paraId="4328FF91" w14:textId="77777777" w:rsidR="00936AF9" w:rsidRDefault="00936AF9" w:rsidP="00936AF9">
            <w:pPr>
              <w:jc w:val="center"/>
              <w:rPr>
                <w:rFonts w:ascii="Tahoma" w:hAnsi="Tahoma" w:cs="Tahoma"/>
                <w:sz w:val="20"/>
                <w:szCs w:val="20"/>
              </w:rPr>
            </w:pPr>
            <w:r>
              <w:rPr>
                <w:rFonts w:ascii="Tahoma" w:hAnsi="Tahoma" w:cs="Tahoma"/>
                <w:sz w:val="20"/>
                <w:szCs w:val="20"/>
              </w:rPr>
              <w:t>350</w:t>
            </w:r>
          </w:p>
        </w:tc>
      </w:tr>
      <w:tr w:rsidR="00936AF9" w14:paraId="221E8D1B"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A40C76F" w14:textId="77777777" w:rsidR="00936AF9" w:rsidRDefault="00936AF9" w:rsidP="00936AF9">
            <w:pPr>
              <w:jc w:val="center"/>
              <w:rPr>
                <w:rFonts w:ascii="Tahoma" w:hAnsi="Tahoma" w:cs="Tahoma"/>
                <w:sz w:val="20"/>
                <w:szCs w:val="20"/>
              </w:rPr>
            </w:pPr>
            <w:r>
              <w:rPr>
                <w:rFonts w:ascii="Tahoma" w:hAnsi="Tahoma" w:cs="Tahoma"/>
                <w:sz w:val="20"/>
                <w:szCs w:val="20"/>
              </w:rPr>
              <w:t>20</w:t>
            </w:r>
          </w:p>
        </w:tc>
        <w:tc>
          <w:tcPr>
            <w:tcW w:w="1780" w:type="dxa"/>
            <w:tcBorders>
              <w:top w:val="nil"/>
              <w:left w:val="nil"/>
              <w:bottom w:val="nil"/>
              <w:right w:val="single" w:sz="4" w:space="0" w:color="auto"/>
            </w:tcBorders>
            <w:shd w:val="clear" w:color="auto" w:fill="auto"/>
            <w:noWrap/>
            <w:vAlign w:val="bottom"/>
          </w:tcPr>
          <w:p w14:paraId="022FC85E" w14:textId="77777777" w:rsidR="00936AF9" w:rsidRDefault="00936AF9" w:rsidP="00936AF9">
            <w:pPr>
              <w:jc w:val="center"/>
              <w:rPr>
                <w:rFonts w:ascii="Tahoma" w:hAnsi="Tahoma" w:cs="Tahoma"/>
                <w:sz w:val="20"/>
                <w:szCs w:val="20"/>
              </w:rPr>
            </w:pPr>
            <w:r>
              <w:rPr>
                <w:rFonts w:ascii="Tahoma" w:hAnsi="Tahoma" w:cs="Tahoma"/>
                <w:sz w:val="20"/>
                <w:szCs w:val="20"/>
              </w:rPr>
              <w:t>160</w:t>
            </w:r>
          </w:p>
        </w:tc>
        <w:tc>
          <w:tcPr>
            <w:tcW w:w="1740" w:type="dxa"/>
            <w:tcBorders>
              <w:top w:val="nil"/>
              <w:left w:val="nil"/>
              <w:bottom w:val="nil"/>
              <w:right w:val="single" w:sz="4" w:space="0" w:color="auto"/>
            </w:tcBorders>
            <w:shd w:val="clear" w:color="auto" w:fill="auto"/>
            <w:noWrap/>
            <w:vAlign w:val="bottom"/>
          </w:tcPr>
          <w:p w14:paraId="7E2665DB" w14:textId="77777777" w:rsidR="00936AF9" w:rsidRDefault="00936AF9" w:rsidP="00936AF9">
            <w:pPr>
              <w:jc w:val="center"/>
              <w:rPr>
                <w:rFonts w:ascii="Tahoma" w:hAnsi="Tahoma" w:cs="Tahoma"/>
                <w:sz w:val="20"/>
                <w:szCs w:val="20"/>
              </w:rPr>
            </w:pPr>
            <w:r>
              <w:rPr>
                <w:rFonts w:ascii="Tahoma" w:hAnsi="Tahoma" w:cs="Tahoma"/>
                <w:sz w:val="20"/>
                <w:szCs w:val="20"/>
              </w:rPr>
              <w:t>340</w:t>
            </w:r>
          </w:p>
        </w:tc>
      </w:tr>
      <w:tr w:rsidR="00936AF9" w14:paraId="4AF1CC24"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91809AC" w14:textId="77777777" w:rsidR="00936AF9" w:rsidRDefault="00936AF9" w:rsidP="00936AF9">
            <w:pPr>
              <w:jc w:val="center"/>
              <w:rPr>
                <w:rFonts w:ascii="Tahoma" w:hAnsi="Tahoma" w:cs="Tahoma"/>
                <w:sz w:val="20"/>
                <w:szCs w:val="20"/>
              </w:rPr>
            </w:pPr>
            <w:r>
              <w:rPr>
                <w:rFonts w:ascii="Tahoma" w:hAnsi="Tahoma" w:cs="Tahoma"/>
                <w:sz w:val="20"/>
                <w:szCs w:val="20"/>
              </w:rPr>
              <w:t>30</w:t>
            </w:r>
          </w:p>
        </w:tc>
        <w:tc>
          <w:tcPr>
            <w:tcW w:w="1780" w:type="dxa"/>
            <w:tcBorders>
              <w:top w:val="nil"/>
              <w:left w:val="nil"/>
              <w:bottom w:val="nil"/>
              <w:right w:val="single" w:sz="4" w:space="0" w:color="auto"/>
            </w:tcBorders>
            <w:shd w:val="clear" w:color="auto" w:fill="auto"/>
            <w:noWrap/>
            <w:vAlign w:val="bottom"/>
          </w:tcPr>
          <w:p w14:paraId="7A37BC2F" w14:textId="77777777" w:rsidR="00936AF9" w:rsidRDefault="00936AF9" w:rsidP="00936AF9">
            <w:pPr>
              <w:jc w:val="center"/>
              <w:rPr>
                <w:rFonts w:ascii="Tahoma" w:hAnsi="Tahoma" w:cs="Tahoma"/>
                <w:sz w:val="20"/>
                <w:szCs w:val="20"/>
              </w:rPr>
            </w:pPr>
            <w:r>
              <w:rPr>
                <w:rFonts w:ascii="Tahoma" w:hAnsi="Tahoma" w:cs="Tahoma"/>
                <w:sz w:val="20"/>
                <w:szCs w:val="20"/>
              </w:rPr>
              <w:t>150</w:t>
            </w:r>
          </w:p>
        </w:tc>
        <w:tc>
          <w:tcPr>
            <w:tcW w:w="1740" w:type="dxa"/>
            <w:tcBorders>
              <w:top w:val="nil"/>
              <w:left w:val="nil"/>
              <w:bottom w:val="nil"/>
              <w:right w:val="single" w:sz="4" w:space="0" w:color="auto"/>
            </w:tcBorders>
            <w:shd w:val="clear" w:color="auto" w:fill="auto"/>
            <w:noWrap/>
            <w:vAlign w:val="bottom"/>
          </w:tcPr>
          <w:p w14:paraId="473B59D3" w14:textId="77777777" w:rsidR="00936AF9" w:rsidRDefault="00936AF9" w:rsidP="00936AF9">
            <w:pPr>
              <w:jc w:val="center"/>
              <w:rPr>
                <w:rFonts w:ascii="Tahoma" w:hAnsi="Tahoma" w:cs="Tahoma"/>
                <w:sz w:val="20"/>
                <w:szCs w:val="20"/>
              </w:rPr>
            </w:pPr>
            <w:r>
              <w:rPr>
                <w:rFonts w:ascii="Tahoma" w:hAnsi="Tahoma" w:cs="Tahoma"/>
                <w:sz w:val="20"/>
                <w:szCs w:val="20"/>
              </w:rPr>
              <w:t>330</w:t>
            </w:r>
          </w:p>
        </w:tc>
      </w:tr>
      <w:tr w:rsidR="00936AF9" w14:paraId="60DB9FEC"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39316EC6" w14:textId="77777777" w:rsidR="00936AF9" w:rsidRDefault="00936AF9" w:rsidP="00936AF9">
            <w:pPr>
              <w:jc w:val="center"/>
              <w:rPr>
                <w:rFonts w:ascii="Tahoma" w:hAnsi="Tahoma" w:cs="Tahoma"/>
                <w:sz w:val="20"/>
                <w:szCs w:val="20"/>
              </w:rPr>
            </w:pPr>
            <w:r>
              <w:rPr>
                <w:rFonts w:ascii="Tahoma" w:hAnsi="Tahoma" w:cs="Tahoma"/>
                <w:sz w:val="20"/>
                <w:szCs w:val="20"/>
              </w:rPr>
              <w:t>40</w:t>
            </w:r>
          </w:p>
        </w:tc>
        <w:tc>
          <w:tcPr>
            <w:tcW w:w="1780" w:type="dxa"/>
            <w:tcBorders>
              <w:top w:val="nil"/>
              <w:left w:val="nil"/>
              <w:bottom w:val="nil"/>
              <w:right w:val="single" w:sz="4" w:space="0" w:color="auto"/>
            </w:tcBorders>
            <w:shd w:val="clear" w:color="auto" w:fill="auto"/>
            <w:noWrap/>
            <w:vAlign w:val="bottom"/>
          </w:tcPr>
          <w:p w14:paraId="387378C6" w14:textId="77777777" w:rsidR="00936AF9" w:rsidRDefault="00936AF9" w:rsidP="00936AF9">
            <w:pPr>
              <w:jc w:val="center"/>
              <w:rPr>
                <w:rFonts w:ascii="Tahoma" w:hAnsi="Tahoma" w:cs="Tahoma"/>
                <w:sz w:val="20"/>
                <w:szCs w:val="20"/>
              </w:rPr>
            </w:pPr>
            <w:r>
              <w:rPr>
                <w:rFonts w:ascii="Tahoma" w:hAnsi="Tahoma" w:cs="Tahoma"/>
                <w:sz w:val="20"/>
                <w:szCs w:val="20"/>
              </w:rPr>
              <w:t>140</w:t>
            </w:r>
          </w:p>
        </w:tc>
        <w:tc>
          <w:tcPr>
            <w:tcW w:w="1740" w:type="dxa"/>
            <w:tcBorders>
              <w:top w:val="nil"/>
              <w:left w:val="nil"/>
              <w:bottom w:val="nil"/>
              <w:right w:val="single" w:sz="4" w:space="0" w:color="auto"/>
            </w:tcBorders>
            <w:shd w:val="clear" w:color="auto" w:fill="auto"/>
            <w:noWrap/>
            <w:vAlign w:val="bottom"/>
          </w:tcPr>
          <w:p w14:paraId="40ED0B69" w14:textId="77777777" w:rsidR="00936AF9" w:rsidRDefault="00936AF9" w:rsidP="00936AF9">
            <w:pPr>
              <w:jc w:val="center"/>
              <w:rPr>
                <w:rFonts w:ascii="Tahoma" w:hAnsi="Tahoma" w:cs="Tahoma"/>
                <w:sz w:val="20"/>
                <w:szCs w:val="20"/>
              </w:rPr>
            </w:pPr>
            <w:r>
              <w:rPr>
                <w:rFonts w:ascii="Tahoma" w:hAnsi="Tahoma" w:cs="Tahoma"/>
                <w:sz w:val="20"/>
                <w:szCs w:val="20"/>
              </w:rPr>
              <w:t>320</w:t>
            </w:r>
          </w:p>
        </w:tc>
      </w:tr>
      <w:tr w:rsidR="00936AF9" w14:paraId="11C52875"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64930656" w14:textId="77777777" w:rsidR="00936AF9" w:rsidRDefault="00936AF9" w:rsidP="00936AF9">
            <w:pPr>
              <w:jc w:val="center"/>
              <w:rPr>
                <w:rFonts w:ascii="Tahoma" w:hAnsi="Tahoma" w:cs="Tahoma"/>
                <w:sz w:val="20"/>
                <w:szCs w:val="20"/>
              </w:rPr>
            </w:pPr>
            <w:r>
              <w:rPr>
                <w:rFonts w:ascii="Tahoma" w:hAnsi="Tahoma" w:cs="Tahoma"/>
                <w:sz w:val="20"/>
                <w:szCs w:val="20"/>
              </w:rPr>
              <w:t>50</w:t>
            </w:r>
          </w:p>
        </w:tc>
        <w:tc>
          <w:tcPr>
            <w:tcW w:w="1780" w:type="dxa"/>
            <w:tcBorders>
              <w:top w:val="nil"/>
              <w:left w:val="nil"/>
              <w:bottom w:val="nil"/>
              <w:right w:val="single" w:sz="4" w:space="0" w:color="auto"/>
            </w:tcBorders>
            <w:shd w:val="clear" w:color="auto" w:fill="auto"/>
            <w:noWrap/>
            <w:vAlign w:val="bottom"/>
          </w:tcPr>
          <w:p w14:paraId="7766F6C4" w14:textId="77777777" w:rsidR="00936AF9" w:rsidRDefault="00936AF9" w:rsidP="00936AF9">
            <w:pPr>
              <w:jc w:val="center"/>
              <w:rPr>
                <w:rFonts w:ascii="Tahoma" w:hAnsi="Tahoma" w:cs="Tahoma"/>
                <w:sz w:val="20"/>
                <w:szCs w:val="20"/>
              </w:rPr>
            </w:pPr>
            <w:r>
              <w:rPr>
                <w:rFonts w:ascii="Tahoma" w:hAnsi="Tahoma" w:cs="Tahoma"/>
                <w:sz w:val="20"/>
                <w:szCs w:val="20"/>
              </w:rPr>
              <w:t>130</w:t>
            </w:r>
          </w:p>
        </w:tc>
        <w:tc>
          <w:tcPr>
            <w:tcW w:w="1740" w:type="dxa"/>
            <w:tcBorders>
              <w:top w:val="nil"/>
              <w:left w:val="nil"/>
              <w:bottom w:val="nil"/>
              <w:right w:val="single" w:sz="4" w:space="0" w:color="auto"/>
            </w:tcBorders>
            <w:shd w:val="clear" w:color="auto" w:fill="auto"/>
            <w:noWrap/>
            <w:vAlign w:val="bottom"/>
          </w:tcPr>
          <w:p w14:paraId="4415C220" w14:textId="77777777" w:rsidR="00936AF9" w:rsidRDefault="00936AF9" w:rsidP="00936AF9">
            <w:pPr>
              <w:jc w:val="center"/>
              <w:rPr>
                <w:rFonts w:ascii="Tahoma" w:hAnsi="Tahoma" w:cs="Tahoma"/>
                <w:sz w:val="20"/>
                <w:szCs w:val="20"/>
              </w:rPr>
            </w:pPr>
            <w:r>
              <w:rPr>
                <w:rFonts w:ascii="Tahoma" w:hAnsi="Tahoma" w:cs="Tahoma"/>
                <w:sz w:val="20"/>
                <w:szCs w:val="20"/>
              </w:rPr>
              <w:t>310</w:t>
            </w:r>
          </w:p>
        </w:tc>
      </w:tr>
      <w:tr w:rsidR="00936AF9" w14:paraId="5FB0D421"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3ADDA62" w14:textId="77777777" w:rsidR="00936AF9" w:rsidRDefault="00936AF9" w:rsidP="00936AF9">
            <w:pPr>
              <w:jc w:val="center"/>
              <w:rPr>
                <w:rFonts w:ascii="Tahoma" w:hAnsi="Tahoma" w:cs="Tahoma"/>
                <w:sz w:val="20"/>
                <w:szCs w:val="20"/>
              </w:rPr>
            </w:pPr>
            <w:r>
              <w:rPr>
                <w:rFonts w:ascii="Tahoma" w:hAnsi="Tahoma" w:cs="Tahoma"/>
                <w:sz w:val="20"/>
                <w:szCs w:val="20"/>
              </w:rPr>
              <w:t>60</w:t>
            </w:r>
          </w:p>
        </w:tc>
        <w:tc>
          <w:tcPr>
            <w:tcW w:w="1780" w:type="dxa"/>
            <w:tcBorders>
              <w:top w:val="nil"/>
              <w:left w:val="nil"/>
              <w:bottom w:val="nil"/>
              <w:right w:val="single" w:sz="4" w:space="0" w:color="auto"/>
            </w:tcBorders>
            <w:shd w:val="clear" w:color="auto" w:fill="auto"/>
            <w:noWrap/>
            <w:vAlign w:val="bottom"/>
          </w:tcPr>
          <w:p w14:paraId="4F9FBF30" w14:textId="77777777" w:rsidR="00936AF9" w:rsidRDefault="00936AF9" w:rsidP="00936AF9">
            <w:pPr>
              <w:jc w:val="center"/>
              <w:rPr>
                <w:rFonts w:ascii="Tahoma" w:hAnsi="Tahoma" w:cs="Tahoma"/>
                <w:sz w:val="20"/>
                <w:szCs w:val="20"/>
              </w:rPr>
            </w:pPr>
            <w:r>
              <w:rPr>
                <w:rFonts w:ascii="Tahoma" w:hAnsi="Tahoma" w:cs="Tahoma"/>
                <w:sz w:val="20"/>
                <w:szCs w:val="20"/>
              </w:rPr>
              <w:t>120</w:t>
            </w:r>
          </w:p>
        </w:tc>
        <w:tc>
          <w:tcPr>
            <w:tcW w:w="1740" w:type="dxa"/>
            <w:tcBorders>
              <w:top w:val="nil"/>
              <w:left w:val="nil"/>
              <w:bottom w:val="nil"/>
              <w:right w:val="single" w:sz="4" w:space="0" w:color="auto"/>
            </w:tcBorders>
            <w:shd w:val="clear" w:color="auto" w:fill="auto"/>
            <w:noWrap/>
            <w:vAlign w:val="bottom"/>
          </w:tcPr>
          <w:p w14:paraId="3E766942" w14:textId="77777777" w:rsidR="00936AF9" w:rsidRDefault="00936AF9" w:rsidP="00936AF9">
            <w:pPr>
              <w:jc w:val="center"/>
              <w:rPr>
                <w:rFonts w:ascii="Tahoma" w:hAnsi="Tahoma" w:cs="Tahoma"/>
                <w:sz w:val="20"/>
                <w:szCs w:val="20"/>
              </w:rPr>
            </w:pPr>
            <w:r>
              <w:rPr>
                <w:rFonts w:ascii="Tahoma" w:hAnsi="Tahoma" w:cs="Tahoma"/>
                <w:sz w:val="20"/>
                <w:szCs w:val="20"/>
              </w:rPr>
              <w:t>300</w:t>
            </w:r>
          </w:p>
        </w:tc>
      </w:tr>
      <w:tr w:rsidR="00936AF9" w14:paraId="327AAE01"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DC6D6F3" w14:textId="77777777" w:rsidR="00936AF9" w:rsidRDefault="00936AF9" w:rsidP="00936AF9">
            <w:pPr>
              <w:jc w:val="center"/>
              <w:rPr>
                <w:rFonts w:ascii="Tahoma" w:hAnsi="Tahoma" w:cs="Tahoma"/>
                <w:sz w:val="20"/>
                <w:szCs w:val="20"/>
              </w:rPr>
            </w:pPr>
            <w:r>
              <w:rPr>
                <w:rFonts w:ascii="Tahoma" w:hAnsi="Tahoma" w:cs="Tahoma"/>
                <w:sz w:val="20"/>
                <w:szCs w:val="20"/>
              </w:rPr>
              <w:t>70</w:t>
            </w:r>
          </w:p>
        </w:tc>
        <w:tc>
          <w:tcPr>
            <w:tcW w:w="1780" w:type="dxa"/>
            <w:tcBorders>
              <w:top w:val="nil"/>
              <w:left w:val="nil"/>
              <w:bottom w:val="nil"/>
              <w:right w:val="single" w:sz="4" w:space="0" w:color="auto"/>
            </w:tcBorders>
            <w:shd w:val="clear" w:color="auto" w:fill="auto"/>
            <w:noWrap/>
            <w:vAlign w:val="bottom"/>
          </w:tcPr>
          <w:p w14:paraId="7030DD66" w14:textId="77777777" w:rsidR="00936AF9" w:rsidRDefault="00936AF9" w:rsidP="00936AF9">
            <w:pPr>
              <w:jc w:val="center"/>
              <w:rPr>
                <w:rFonts w:ascii="Tahoma" w:hAnsi="Tahoma" w:cs="Tahoma"/>
                <w:sz w:val="20"/>
                <w:szCs w:val="20"/>
              </w:rPr>
            </w:pPr>
            <w:r>
              <w:rPr>
                <w:rFonts w:ascii="Tahoma" w:hAnsi="Tahoma" w:cs="Tahoma"/>
                <w:sz w:val="20"/>
                <w:szCs w:val="20"/>
              </w:rPr>
              <w:t>110</w:t>
            </w:r>
          </w:p>
        </w:tc>
        <w:tc>
          <w:tcPr>
            <w:tcW w:w="1740" w:type="dxa"/>
            <w:tcBorders>
              <w:top w:val="nil"/>
              <w:left w:val="nil"/>
              <w:bottom w:val="nil"/>
              <w:right w:val="single" w:sz="4" w:space="0" w:color="auto"/>
            </w:tcBorders>
            <w:shd w:val="clear" w:color="auto" w:fill="auto"/>
            <w:noWrap/>
            <w:vAlign w:val="bottom"/>
          </w:tcPr>
          <w:p w14:paraId="1DAA89F1" w14:textId="77777777" w:rsidR="00936AF9" w:rsidRDefault="00936AF9" w:rsidP="00936AF9">
            <w:pPr>
              <w:jc w:val="center"/>
              <w:rPr>
                <w:rFonts w:ascii="Tahoma" w:hAnsi="Tahoma" w:cs="Tahoma"/>
                <w:sz w:val="20"/>
                <w:szCs w:val="20"/>
              </w:rPr>
            </w:pPr>
            <w:r>
              <w:rPr>
                <w:rFonts w:ascii="Tahoma" w:hAnsi="Tahoma" w:cs="Tahoma"/>
                <w:sz w:val="20"/>
                <w:szCs w:val="20"/>
              </w:rPr>
              <w:t>290</w:t>
            </w:r>
          </w:p>
        </w:tc>
      </w:tr>
      <w:tr w:rsidR="00936AF9" w14:paraId="5E32D17D"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277232D5" w14:textId="77777777" w:rsidR="00936AF9" w:rsidRDefault="00936AF9" w:rsidP="00936AF9">
            <w:pPr>
              <w:jc w:val="center"/>
              <w:rPr>
                <w:rFonts w:ascii="Tahoma" w:hAnsi="Tahoma" w:cs="Tahoma"/>
                <w:sz w:val="20"/>
                <w:szCs w:val="20"/>
              </w:rPr>
            </w:pPr>
            <w:r>
              <w:rPr>
                <w:rFonts w:ascii="Tahoma" w:hAnsi="Tahoma" w:cs="Tahoma"/>
                <w:sz w:val="20"/>
                <w:szCs w:val="20"/>
              </w:rPr>
              <w:t>80</w:t>
            </w:r>
          </w:p>
        </w:tc>
        <w:tc>
          <w:tcPr>
            <w:tcW w:w="1780" w:type="dxa"/>
            <w:tcBorders>
              <w:top w:val="nil"/>
              <w:left w:val="nil"/>
              <w:bottom w:val="nil"/>
              <w:right w:val="single" w:sz="4" w:space="0" w:color="auto"/>
            </w:tcBorders>
            <w:shd w:val="clear" w:color="auto" w:fill="auto"/>
            <w:noWrap/>
            <w:vAlign w:val="bottom"/>
          </w:tcPr>
          <w:p w14:paraId="6314E061" w14:textId="77777777" w:rsidR="00936AF9" w:rsidRDefault="00936AF9" w:rsidP="00936AF9">
            <w:pPr>
              <w:jc w:val="center"/>
              <w:rPr>
                <w:rFonts w:ascii="Tahoma" w:hAnsi="Tahoma" w:cs="Tahoma"/>
                <w:sz w:val="20"/>
                <w:szCs w:val="20"/>
              </w:rPr>
            </w:pPr>
            <w:r>
              <w:rPr>
                <w:rFonts w:ascii="Tahoma" w:hAnsi="Tahoma" w:cs="Tahoma"/>
                <w:sz w:val="20"/>
                <w:szCs w:val="20"/>
              </w:rPr>
              <w:t>100</w:t>
            </w:r>
          </w:p>
        </w:tc>
        <w:tc>
          <w:tcPr>
            <w:tcW w:w="1740" w:type="dxa"/>
            <w:tcBorders>
              <w:top w:val="nil"/>
              <w:left w:val="nil"/>
              <w:bottom w:val="nil"/>
              <w:right w:val="single" w:sz="4" w:space="0" w:color="auto"/>
            </w:tcBorders>
            <w:shd w:val="clear" w:color="auto" w:fill="auto"/>
            <w:noWrap/>
            <w:vAlign w:val="bottom"/>
          </w:tcPr>
          <w:p w14:paraId="32F0E2A0" w14:textId="77777777" w:rsidR="00936AF9" w:rsidRDefault="00936AF9" w:rsidP="00936AF9">
            <w:pPr>
              <w:jc w:val="center"/>
              <w:rPr>
                <w:rFonts w:ascii="Tahoma" w:hAnsi="Tahoma" w:cs="Tahoma"/>
                <w:sz w:val="20"/>
                <w:szCs w:val="20"/>
              </w:rPr>
            </w:pPr>
            <w:r>
              <w:rPr>
                <w:rFonts w:ascii="Tahoma" w:hAnsi="Tahoma" w:cs="Tahoma"/>
                <w:sz w:val="20"/>
                <w:szCs w:val="20"/>
              </w:rPr>
              <w:t>280</w:t>
            </w:r>
          </w:p>
        </w:tc>
      </w:tr>
      <w:tr w:rsidR="00936AF9" w14:paraId="11474623"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E9B9F8B" w14:textId="77777777" w:rsidR="00936AF9" w:rsidRDefault="00936AF9" w:rsidP="00936AF9">
            <w:pPr>
              <w:jc w:val="center"/>
              <w:rPr>
                <w:rFonts w:ascii="Tahoma" w:hAnsi="Tahoma" w:cs="Tahoma"/>
                <w:sz w:val="20"/>
                <w:szCs w:val="20"/>
              </w:rPr>
            </w:pPr>
            <w:r>
              <w:rPr>
                <w:rFonts w:ascii="Tahoma" w:hAnsi="Tahoma" w:cs="Tahoma"/>
                <w:sz w:val="20"/>
                <w:szCs w:val="20"/>
              </w:rPr>
              <w:t>90</w:t>
            </w:r>
          </w:p>
        </w:tc>
        <w:tc>
          <w:tcPr>
            <w:tcW w:w="1780" w:type="dxa"/>
            <w:tcBorders>
              <w:top w:val="nil"/>
              <w:left w:val="nil"/>
              <w:bottom w:val="nil"/>
              <w:right w:val="single" w:sz="4" w:space="0" w:color="auto"/>
            </w:tcBorders>
            <w:shd w:val="clear" w:color="auto" w:fill="auto"/>
            <w:noWrap/>
            <w:vAlign w:val="bottom"/>
          </w:tcPr>
          <w:p w14:paraId="1344905C" w14:textId="77777777" w:rsidR="00936AF9" w:rsidRDefault="00936AF9" w:rsidP="00936AF9">
            <w:pPr>
              <w:jc w:val="center"/>
              <w:rPr>
                <w:rFonts w:ascii="Tahoma" w:hAnsi="Tahoma" w:cs="Tahoma"/>
                <w:sz w:val="20"/>
                <w:szCs w:val="20"/>
              </w:rPr>
            </w:pPr>
            <w:r>
              <w:rPr>
                <w:rFonts w:ascii="Tahoma" w:hAnsi="Tahoma" w:cs="Tahoma"/>
                <w:sz w:val="20"/>
                <w:szCs w:val="20"/>
              </w:rPr>
              <w:t>90</w:t>
            </w:r>
          </w:p>
        </w:tc>
        <w:tc>
          <w:tcPr>
            <w:tcW w:w="1740" w:type="dxa"/>
            <w:tcBorders>
              <w:top w:val="nil"/>
              <w:left w:val="nil"/>
              <w:bottom w:val="nil"/>
              <w:right w:val="single" w:sz="4" w:space="0" w:color="auto"/>
            </w:tcBorders>
            <w:shd w:val="clear" w:color="auto" w:fill="auto"/>
            <w:noWrap/>
            <w:vAlign w:val="bottom"/>
          </w:tcPr>
          <w:p w14:paraId="4862CC5F" w14:textId="77777777" w:rsidR="00936AF9" w:rsidRDefault="00936AF9" w:rsidP="00936AF9">
            <w:pPr>
              <w:jc w:val="center"/>
              <w:rPr>
                <w:rFonts w:ascii="Tahoma" w:hAnsi="Tahoma" w:cs="Tahoma"/>
                <w:sz w:val="20"/>
                <w:szCs w:val="20"/>
              </w:rPr>
            </w:pPr>
            <w:r>
              <w:rPr>
                <w:rFonts w:ascii="Tahoma" w:hAnsi="Tahoma" w:cs="Tahoma"/>
                <w:sz w:val="20"/>
                <w:szCs w:val="20"/>
              </w:rPr>
              <w:t>270</w:t>
            </w:r>
          </w:p>
        </w:tc>
      </w:tr>
      <w:tr w:rsidR="00936AF9" w14:paraId="1ED79977"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765A5639" w14:textId="77777777" w:rsidR="00936AF9" w:rsidRDefault="00936AF9" w:rsidP="00936AF9">
            <w:pPr>
              <w:jc w:val="center"/>
              <w:rPr>
                <w:rFonts w:ascii="Tahoma" w:hAnsi="Tahoma" w:cs="Tahoma"/>
                <w:sz w:val="20"/>
                <w:szCs w:val="20"/>
              </w:rPr>
            </w:pPr>
            <w:r>
              <w:rPr>
                <w:rFonts w:ascii="Tahoma" w:hAnsi="Tahoma" w:cs="Tahoma"/>
                <w:sz w:val="20"/>
                <w:szCs w:val="20"/>
              </w:rPr>
              <w:t>100</w:t>
            </w:r>
          </w:p>
        </w:tc>
        <w:tc>
          <w:tcPr>
            <w:tcW w:w="1780" w:type="dxa"/>
            <w:tcBorders>
              <w:top w:val="nil"/>
              <w:left w:val="nil"/>
              <w:bottom w:val="nil"/>
              <w:right w:val="single" w:sz="4" w:space="0" w:color="auto"/>
            </w:tcBorders>
            <w:shd w:val="clear" w:color="auto" w:fill="auto"/>
            <w:noWrap/>
            <w:vAlign w:val="bottom"/>
          </w:tcPr>
          <w:p w14:paraId="02AABAAD" w14:textId="77777777" w:rsidR="00936AF9" w:rsidRDefault="00936AF9" w:rsidP="00936AF9">
            <w:pPr>
              <w:jc w:val="center"/>
              <w:rPr>
                <w:rFonts w:ascii="Tahoma" w:hAnsi="Tahoma" w:cs="Tahoma"/>
                <w:sz w:val="20"/>
                <w:szCs w:val="20"/>
              </w:rPr>
            </w:pPr>
            <w:r>
              <w:rPr>
                <w:rFonts w:ascii="Tahoma" w:hAnsi="Tahoma" w:cs="Tahoma"/>
                <w:sz w:val="20"/>
                <w:szCs w:val="20"/>
              </w:rPr>
              <w:t>80</w:t>
            </w:r>
          </w:p>
        </w:tc>
        <w:tc>
          <w:tcPr>
            <w:tcW w:w="1740" w:type="dxa"/>
            <w:tcBorders>
              <w:top w:val="nil"/>
              <w:left w:val="nil"/>
              <w:bottom w:val="nil"/>
              <w:right w:val="single" w:sz="4" w:space="0" w:color="auto"/>
            </w:tcBorders>
            <w:shd w:val="clear" w:color="auto" w:fill="auto"/>
            <w:noWrap/>
            <w:vAlign w:val="bottom"/>
          </w:tcPr>
          <w:p w14:paraId="6AC83CF6" w14:textId="77777777" w:rsidR="00936AF9" w:rsidRDefault="00936AF9" w:rsidP="00936AF9">
            <w:pPr>
              <w:jc w:val="center"/>
              <w:rPr>
                <w:rFonts w:ascii="Tahoma" w:hAnsi="Tahoma" w:cs="Tahoma"/>
                <w:sz w:val="20"/>
                <w:szCs w:val="20"/>
              </w:rPr>
            </w:pPr>
            <w:r>
              <w:rPr>
                <w:rFonts w:ascii="Tahoma" w:hAnsi="Tahoma" w:cs="Tahoma"/>
                <w:sz w:val="20"/>
                <w:szCs w:val="20"/>
              </w:rPr>
              <w:t>260</w:t>
            </w:r>
          </w:p>
        </w:tc>
      </w:tr>
      <w:tr w:rsidR="00936AF9" w14:paraId="259B1B03"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0272A98" w14:textId="77777777" w:rsidR="00936AF9" w:rsidRDefault="00936AF9" w:rsidP="00936AF9">
            <w:pPr>
              <w:jc w:val="center"/>
              <w:rPr>
                <w:rFonts w:ascii="Tahoma" w:hAnsi="Tahoma" w:cs="Tahoma"/>
                <w:sz w:val="20"/>
                <w:szCs w:val="20"/>
              </w:rPr>
            </w:pPr>
            <w:r>
              <w:rPr>
                <w:rFonts w:ascii="Tahoma" w:hAnsi="Tahoma" w:cs="Tahoma"/>
                <w:sz w:val="20"/>
                <w:szCs w:val="20"/>
              </w:rPr>
              <w:t>110</w:t>
            </w:r>
          </w:p>
        </w:tc>
        <w:tc>
          <w:tcPr>
            <w:tcW w:w="1780" w:type="dxa"/>
            <w:tcBorders>
              <w:top w:val="nil"/>
              <w:left w:val="nil"/>
              <w:bottom w:val="nil"/>
              <w:right w:val="single" w:sz="4" w:space="0" w:color="auto"/>
            </w:tcBorders>
            <w:shd w:val="clear" w:color="auto" w:fill="auto"/>
            <w:noWrap/>
            <w:vAlign w:val="bottom"/>
          </w:tcPr>
          <w:p w14:paraId="0999E42F" w14:textId="77777777" w:rsidR="00936AF9" w:rsidRDefault="00936AF9" w:rsidP="00936AF9">
            <w:pPr>
              <w:jc w:val="center"/>
              <w:rPr>
                <w:rFonts w:ascii="Tahoma" w:hAnsi="Tahoma" w:cs="Tahoma"/>
                <w:sz w:val="20"/>
                <w:szCs w:val="20"/>
              </w:rPr>
            </w:pPr>
            <w:r>
              <w:rPr>
                <w:rFonts w:ascii="Tahoma" w:hAnsi="Tahoma" w:cs="Tahoma"/>
                <w:sz w:val="20"/>
                <w:szCs w:val="20"/>
              </w:rPr>
              <w:t>70</w:t>
            </w:r>
          </w:p>
        </w:tc>
        <w:tc>
          <w:tcPr>
            <w:tcW w:w="1740" w:type="dxa"/>
            <w:tcBorders>
              <w:top w:val="nil"/>
              <w:left w:val="nil"/>
              <w:bottom w:val="nil"/>
              <w:right w:val="single" w:sz="4" w:space="0" w:color="auto"/>
            </w:tcBorders>
            <w:shd w:val="clear" w:color="auto" w:fill="auto"/>
            <w:noWrap/>
            <w:vAlign w:val="bottom"/>
          </w:tcPr>
          <w:p w14:paraId="6FD3A62E" w14:textId="77777777" w:rsidR="00936AF9" w:rsidRDefault="00936AF9" w:rsidP="00936AF9">
            <w:pPr>
              <w:jc w:val="center"/>
              <w:rPr>
                <w:rFonts w:ascii="Tahoma" w:hAnsi="Tahoma" w:cs="Tahoma"/>
                <w:sz w:val="20"/>
                <w:szCs w:val="20"/>
              </w:rPr>
            </w:pPr>
            <w:r>
              <w:rPr>
                <w:rFonts w:ascii="Tahoma" w:hAnsi="Tahoma" w:cs="Tahoma"/>
                <w:sz w:val="20"/>
                <w:szCs w:val="20"/>
              </w:rPr>
              <w:t>250</w:t>
            </w:r>
          </w:p>
        </w:tc>
      </w:tr>
      <w:tr w:rsidR="00936AF9" w14:paraId="4558A707"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4A6815EF" w14:textId="77777777" w:rsidR="00936AF9" w:rsidRDefault="00936AF9" w:rsidP="00936AF9">
            <w:pPr>
              <w:jc w:val="center"/>
              <w:rPr>
                <w:rFonts w:ascii="Tahoma" w:hAnsi="Tahoma" w:cs="Tahoma"/>
                <w:sz w:val="20"/>
                <w:szCs w:val="20"/>
              </w:rPr>
            </w:pPr>
            <w:r>
              <w:rPr>
                <w:rFonts w:ascii="Tahoma" w:hAnsi="Tahoma" w:cs="Tahoma"/>
                <w:sz w:val="20"/>
                <w:szCs w:val="20"/>
              </w:rPr>
              <w:t>120</w:t>
            </w:r>
          </w:p>
        </w:tc>
        <w:tc>
          <w:tcPr>
            <w:tcW w:w="1780" w:type="dxa"/>
            <w:tcBorders>
              <w:top w:val="nil"/>
              <w:left w:val="nil"/>
              <w:bottom w:val="nil"/>
              <w:right w:val="single" w:sz="4" w:space="0" w:color="auto"/>
            </w:tcBorders>
            <w:shd w:val="clear" w:color="auto" w:fill="auto"/>
            <w:noWrap/>
            <w:vAlign w:val="bottom"/>
          </w:tcPr>
          <w:p w14:paraId="161E557B" w14:textId="77777777" w:rsidR="00936AF9" w:rsidRDefault="00936AF9" w:rsidP="00936AF9">
            <w:pPr>
              <w:jc w:val="center"/>
              <w:rPr>
                <w:rFonts w:ascii="Tahoma" w:hAnsi="Tahoma" w:cs="Tahoma"/>
                <w:sz w:val="20"/>
                <w:szCs w:val="20"/>
              </w:rPr>
            </w:pPr>
            <w:r>
              <w:rPr>
                <w:rFonts w:ascii="Tahoma" w:hAnsi="Tahoma" w:cs="Tahoma"/>
                <w:sz w:val="20"/>
                <w:szCs w:val="20"/>
              </w:rPr>
              <w:t>60</w:t>
            </w:r>
          </w:p>
        </w:tc>
        <w:tc>
          <w:tcPr>
            <w:tcW w:w="1740" w:type="dxa"/>
            <w:tcBorders>
              <w:top w:val="nil"/>
              <w:left w:val="nil"/>
              <w:bottom w:val="nil"/>
              <w:right w:val="single" w:sz="4" w:space="0" w:color="auto"/>
            </w:tcBorders>
            <w:shd w:val="clear" w:color="auto" w:fill="auto"/>
            <w:noWrap/>
            <w:vAlign w:val="bottom"/>
          </w:tcPr>
          <w:p w14:paraId="24C2197D" w14:textId="77777777" w:rsidR="00936AF9" w:rsidRDefault="00936AF9" w:rsidP="00936AF9">
            <w:pPr>
              <w:jc w:val="center"/>
              <w:rPr>
                <w:rFonts w:ascii="Tahoma" w:hAnsi="Tahoma" w:cs="Tahoma"/>
                <w:sz w:val="20"/>
                <w:szCs w:val="20"/>
              </w:rPr>
            </w:pPr>
            <w:r>
              <w:rPr>
                <w:rFonts w:ascii="Tahoma" w:hAnsi="Tahoma" w:cs="Tahoma"/>
                <w:sz w:val="20"/>
                <w:szCs w:val="20"/>
              </w:rPr>
              <w:t>240</w:t>
            </w:r>
          </w:p>
        </w:tc>
      </w:tr>
      <w:tr w:rsidR="00936AF9" w14:paraId="35389FE6"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750C907B" w14:textId="77777777" w:rsidR="00936AF9" w:rsidRDefault="00936AF9" w:rsidP="00936AF9">
            <w:pPr>
              <w:jc w:val="center"/>
              <w:rPr>
                <w:rFonts w:ascii="Tahoma" w:hAnsi="Tahoma" w:cs="Tahoma"/>
                <w:sz w:val="20"/>
                <w:szCs w:val="20"/>
              </w:rPr>
            </w:pPr>
            <w:r>
              <w:rPr>
                <w:rFonts w:ascii="Tahoma" w:hAnsi="Tahoma" w:cs="Tahoma"/>
                <w:sz w:val="20"/>
                <w:szCs w:val="20"/>
              </w:rPr>
              <w:t>130</w:t>
            </w:r>
          </w:p>
        </w:tc>
        <w:tc>
          <w:tcPr>
            <w:tcW w:w="1780" w:type="dxa"/>
            <w:tcBorders>
              <w:top w:val="nil"/>
              <w:left w:val="nil"/>
              <w:bottom w:val="nil"/>
              <w:right w:val="single" w:sz="4" w:space="0" w:color="auto"/>
            </w:tcBorders>
            <w:shd w:val="clear" w:color="auto" w:fill="auto"/>
            <w:noWrap/>
            <w:vAlign w:val="bottom"/>
          </w:tcPr>
          <w:p w14:paraId="7E0FAFD2" w14:textId="77777777" w:rsidR="00936AF9" w:rsidRDefault="00936AF9" w:rsidP="00936AF9">
            <w:pPr>
              <w:jc w:val="center"/>
              <w:rPr>
                <w:rFonts w:ascii="Tahoma" w:hAnsi="Tahoma" w:cs="Tahoma"/>
                <w:sz w:val="20"/>
                <w:szCs w:val="20"/>
              </w:rPr>
            </w:pPr>
            <w:r>
              <w:rPr>
                <w:rFonts w:ascii="Tahoma" w:hAnsi="Tahoma" w:cs="Tahoma"/>
                <w:sz w:val="20"/>
                <w:szCs w:val="20"/>
              </w:rPr>
              <w:t>50</w:t>
            </w:r>
          </w:p>
        </w:tc>
        <w:tc>
          <w:tcPr>
            <w:tcW w:w="1740" w:type="dxa"/>
            <w:tcBorders>
              <w:top w:val="nil"/>
              <w:left w:val="nil"/>
              <w:bottom w:val="nil"/>
              <w:right w:val="single" w:sz="4" w:space="0" w:color="auto"/>
            </w:tcBorders>
            <w:shd w:val="clear" w:color="auto" w:fill="auto"/>
            <w:noWrap/>
            <w:vAlign w:val="bottom"/>
          </w:tcPr>
          <w:p w14:paraId="3AD91648" w14:textId="77777777" w:rsidR="00936AF9" w:rsidRDefault="00936AF9" w:rsidP="00936AF9">
            <w:pPr>
              <w:jc w:val="center"/>
              <w:rPr>
                <w:rFonts w:ascii="Tahoma" w:hAnsi="Tahoma" w:cs="Tahoma"/>
                <w:sz w:val="20"/>
                <w:szCs w:val="20"/>
              </w:rPr>
            </w:pPr>
            <w:r>
              <w:rPr>
                <w:rFonts w:ascii="Tahoma" w:hAnsi="Tahoma" w:cs="Tahoma"/>
                <w:sz w:val="20"/>
                <w:szCs w:val="20"/>
              </w:rPr>
              <w:t>230</w:t>
            </w:r>
          </w:p>
        </w:tc>
      </w:tr>
      <w:tr w:rsidR="00936AF9" w14:paraId="4A869A8D"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85B08EE" w14:textId="77777777" w:rsidR="00936AF9" w:rsidRDefault="00936AF9" w:rsidP="00936AF9">
            <w:pPr>
              <w:jc w:val="center"/>
              <w:rPr>
                <w:rFonts w:ascii="Tahoma" w:hAnsi="Tahoma" w:cs="Tahoma"/>
                <w:sz w:val="20"/>
                <w:szCs w:val="20"/>
              </w:rPr>
            </w:pPr>
            <w:r>
              <w:rPr>
                <w:rFonts w:ascii="Tahoma" w:hAnsi="Tahoma" w:cs="Tahoma"/>
                <w:sz w:val="20"/>
                <w:szCs w:val="20"/>
              </w:rPr>
              <w:t>140</w:t>
            </w:r>
          </w:p>
        </w:tc>
        <w:tc>
          <w:tcPr>
            <w:tcW w:w="1780" w:type="dxa"/>
            <w:tcBorders>
              <w:top w:val="nil"/>
              <w:left w:val="nil"/>
              <w:bottom w:val="nil"/>
              <w:right w:val="single" w:sz="4" w:space="0" w:color="auto"/>
            </w:tcBorders>
            <w:shd w:val="clear" w:color="auto" w:fill="auto"/>
            <w:noWrap/>
            <w:vAlign w:val="bottom"/>
          </w:tcPr>
          <w:p w14:paraId="37726C27" w14:textId="77777777" w:rsidR="00936AF9" w:rsidRDefault="00936AF9" w:rsidP="00936AF9">
            <w:pPr>
              <w:jc w:val="center"/>
              <w:rPr>
                <w:rFonts w:ascii="Tahoma" w:hAnsi="Tahoma" w:cs="Tahoma"/>
                <w:sz w:val="20"/>
                <w:szCs w:val="20"/>
              </w:rPr>
            </w:pPr>
            <w:r>
              <w:rPr>
                <w:rFonts w:ascii="Tahoma" w:hAnsi="Tahoma" w:cs="Tahoma"/>
                <w:sz w:val="20"/>
                <w:szCs w:val="20"/>
              </w:rPr>
              <w:t>40</w:t>
            </w:r>
          </w:p>
        </w:tc>
        <w:tc>
          <w:tcPr>
            <w:tcW w:w="1740" w:type="dxa"/>
            <w:tcBorders>
              <w:top w:val="nil"/>
              <w:left w:val="nil"/>
              <w:bottom w:val="nil"/>
              <w:right w:val="single" w:sz="4" w:space="0" w:color="auto"/>
            </w:tcBorders>
            <w:shd w:val="clear" w:color="auto" w:fill="auto"/>
            <w:noWrap/>
            <w:vAlign w:val="bottom"/>
          </w:tcPr>
          <w:p w14:paraId="3BABD7E7" w14:textId="77777777" w:rsidR="00936AF9" w:rsidRDefault="00936AF9" w:rsidP="00936AF9">
            <w:pPr>
              <w:jc w:val="center"/>
              <w:rPr>
                <w:rFonts w:ascii="Tahoma" w:hAnsi="Tahoma" w:cs="Tahoma"/>
                <w:sz w:val="20"/>
                <w:szCs w:val="20"/>
              </w:rPr>
            </w:pPr>
            <w:r>
              <w:rPr>
                <w:rFonts w:ascii="Tahoma" w:hAnsi="Tahoma" w:cs="Tahoma"/>
                <w:sz w:val="20"/>
                <w:szCs w:val="20"/>
              </w:rPr>
              <w:t>220</w:t>
            </w:r>
          </w:p>
        </w:tc>
      </w:tr>
      <w:tr w:rsidR="00936AF9" w14:paraId="37D5AB75"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28E3E0B3" w14:textId="77777777" w:rsidR="00936AF9" w:rsidRDefault="00936AF9" w:rsidP="00936AF9">
            <w:pPr>
              <w:jc w:val="center"/>
              <w:rPr>
                <w:rFonts w:ascii="Tahoma" w:hAnsi="Tahoma" w:cs="Tahoma"/>
                <w:sz w:val="20"/>
                <w:szCs w:val="20"/>
              </w:rPr>
            </w:pPr>
            <w:r>
              <w:rPr>
                <w:rFonts w:ascii="Tahoma" w:hAnsi="Tahoma" w:cs="Tahoma"/>
                <w:sz w:val="20"/>
                <w:szCs w:val="20"/>
              </w:rPr>
              <w:t>150</w:t>
            </w:r>
          </w:p>
        </w:tc>
        <w:tc>
          <w:tcPr>
            <w:tcW w:w="1780" w:type="dxa"/>
            <w:tcBorders>
              <w:top w:val="nil"/>
              <w:left w:val="nil"/>
              <w:bottom w:val="nil"/>
              <w:right w:val="single" w:sz="4" w:space="0" w:color="auto"/>
            </w:tcBorders>
            <w:shd w:val="clear" w:color="auto" w:fill="auto"/>
            <w:noWrap/>
            <w:vAlign w:val="bottom"/>
          </w:tcPr>
          <w:p w14:paraId="493005D3" w14:textId="77777777" w:rsidR="00936AF9" w:rsidRDefault="00936AF9" w:rsidP="00936AF9">
            <w:pPr>
              <w:jc w:val="center"/>
              <w:rPr>
                <w:rFonts w:ascii="Tahoma" w:hAnsi="Tahoma" w:cs="Tahoma"/>
                <w:sz w:val="20"/>
                <w:szCs w:val="20"/>
              </w:rPr>
            </w:pPr>
            <w:r>
              <w:rPr>
                <w:rFonts w:ascii="Tahoma" w:hAnsi="Tahoma" w:cs="Tahoma"/>
                <w:sz w:val="20"/>
                <w:szCs w:val="20"/>
              </w:rPr>
              <w:t>30</w:t>
            </w:r>
          </w:p>
        </w:tc>
        <w:tc>
          <w:tcPr>
            <w:tcW w:w="1740" w:type="dxa"/>
            <w:tcBorders>
              <w:top w:val="nil"/>
              <w:left w:val="nil"/>
              <w:bottom w:val="nil"/>
              <w:right w:val="single" w:sz="4" w:space="0" w:color="auto"/>
            </w:tcBorders>
            <w:shd w:val="clear" w:color="auto" w:fill="auto"/>
            <w:noWrap/>
            <w:vAlign w:val="bottom"/>
          </w:tcPr>
          <w:p w14:paraId="525C3E7A" w14:textId="77777777" w:rsidR="00936AF9" w:rsidRDefault="00936AF9" w:rsidP="00936AF9">
            <w:pPr>
              <w:jc w:val="center"/>
              <w:rPr>
                <w:rFonts w:ascii="Tahoma" w:hAnsi="Tahoma" w:cs="Tahoma"/>
                <w:sz w:val="20"/>
                <w:szCs w:val="20"/>
              </w:rPr>
            </w:pPr>
            <w:r>
              <w:rPr>
                <w:rFonts w:ascii="Tahoma" w:hAnsi="Tahoma" w:cs="Tahoma"/>
                <w:sz w:val="20"/>
                <w:szCs w:val="20"/>
              </w:rPr>
              <w:t>210</w:t>
            </w:r>
          </w:p>
        </w:tc>
      </w:tr>
      <w:tr w:rsidR="00936AF9" w14:paraId="41B01B68"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B1F78E1" w14:textId="77777777" w:rsidR="00936AF9" w:rsidRDefault="00936AF9" w:rsidP="00936AF9">
            <w:pPr>
              <w:jc w:val="center"/>
              <w:rPr>
                <w:rFonts w:ascii="Tahoma" w:hAnsi="Tahoma" w:cs="Tahoma"/>
                <w:sz w:val="20"/>
                <w:szCs w:val="20"/>
              </w:rPr>
            </w:pPr>
            <w:r>
              <w:rPr>
                <w:rFonts w:ascii="Tahoma" w:hAnsi="Tahoma" w:cs="Tahoma"/>
                <w:sz w:val="20"/>
                <w:szCs w:val="20"/>
              </w:rPr>
              <w:t>160</w:t>
            </w:r>
          </w:p>
        </w:tc>
        <w:tc>
          <w:tcPr>
            <w:tcW w:w="1780" w:type="dxa"/>
            <w:tcBorders>
              <w:top w:val="nil"/>
              <w:left w:val="nil"/>
              <w:bottom w:val="nil"/>
              <w:right w:val="single" w:sz="4" w:space="0" w:color="auto"/>
            </w:tcBorders>
            <w:shd w:val="clear" w:color="auto" w:fill="auto"/>
            <w:noWrap/>
            <w:vAlign w:val="bottom"/>
          </w:tcPr>
          <w:p w14:paraId="216D0D42" w14:textId="77777777" w:rsidR="00936AF9" w:rsidRDefault="00936AF9" w:rsidP="00936AF9">
            <w:pPr>
              <w:jc w:val="center"/>
              <w:rPr>
                <w:rFonts w:ascii="Tahoma" w:hAnsi="Tahoma" w:cs="Tahoma"/>
                <w:sz w:val="20"/>
                <w:szCs w:val="20"/>
              </w:rPr>
            </w:pPr>
            <w:r>
              <w:rPr>
                <w:rFonts w:ascii="Tahoma" w:hAnsi="Tahoma" w:cs="Tahoma"/>
                <w:sz w:val="20"/>
                <w:szCs w:val="20"/>
              </w:rPr>
              <w:t>20</w:t>
            </w:r>
          </w:p>
        </w:tc>
        <w:tc>
          <w:tcPr>
            <w:tcW w:w="1740" w:type="dxa"/>
            <w:tcBorders>
              <w:top w:val="nil"/>
              <w:left w:val="nil"/>
              <w:bottom w:val="nil"/>
              <w:right w:val="single" w:sz="4" w:space="0" w:color="auto"/>
            </w:tcBorders>
            <w:shd w:val="clear" w:color="auto" w:fill="auto"/>
            <w:noWrap/>
            <w:vAlign w:val="bottom"/>
          </w:tcPr>
          <w:p w14:paraId="6FA25552" w14:textId="77777777" w:rsidR="00936AF9" w:rsidRDefault="00936AF9" w:rsidP="00936AF9">
            <w:pPr>
              <w:jc w:val="center"/>
              <w:rPr>
                <w:rFonts w:ascii="Tahoma" w:hAnsi="Tahoma" w:cs="Tahoma"/>
                <w:sz w:val="20"/>
                <w:szCs w:val="20"/>
              </w:rPr>
            </w:pPr>
            <w:r>
              <w:rPr>
                <w:rFonts w:ascii="Tahoma" w:hAnsi="Tahoma" w:cs="Tahoma"/>
                <w:sz w:val="20"/>
                <w:szCs w:val="20"/>
              </w:rPr>
              <w:t>200</w:t>
            </w:r>
          </w:p>
        </w:tc>
      </w:tr>
      <w:tr w:rsidR="00936AF9" w14:paraId="71D0ED84"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C183EEC" w14:textId="77777777" w:rsidR="00936AF9" w:rsidRDefault="00936AF9" w:rsidP="00936AF9">
            <w:pPr>
              <w:jc w:val="center"/>
              <w:rPr>
                <w:rFonts w:ascii="Tahoma" w:hAnsi="Tahoma" w:cs="Tahoma"/>
                <w:sz w:val="20"/>
                <w:szCs w:val="20"/>
              </w:rPr>
            </w:pPr>
            <w:r>
              <w:rPr>
                <w:rFonts w:ascii="Tahoma" w:hAnsi="Tahoma" w:cs="Tahoma"/>
                <w:sz w:val="20"/>
                <w:szCs w:val="20"/>
              </w:rPr>
              <w:t>170</w:t>
            </w:r>
          </w:p>
        </w:tc>
        <w:tc>
          <w:tcPr>
            <w:tcW w:w="1780" w:type="dxa"/>
            <w:tcBorders>
              <w:top w:val="nil"/>
              <w:left w:val="nil"/>
              <w:bottom w:val="nil"/>
              <w:right w:val="single" w:sz="4" w:space="0" w:color="auto"/>
            </w:tcBorders>
            <w:shd w:val="clear" w:color="auto" w:fill="auto"/>
            <w:noWrap/>
            <w:vAlign w:val="bottom"/>
          </w:tcPr>
          <w:p w14:paraId="6932AAEA" w14:textId="77777777" w:rsidR="00936AF9" w:rsidRDefault="00936AF9" w:rsidP="00936AF9">
            <w:pPr>
              <w:jc w:val="center"/>
              <w:rPr>
                <w:rFonts w:ascii="Tahoma" w:hAnsi="Tahoma" w:cs="Tahoma"/>
                <w:sz w:val="20"/>
                <w:szCs w:val="20"/>
              </w:rPr>
            </w:pPr>
            <w:r>
              <w:rPr>
                <w:rFonts w:ascii="Tahoma" w:hAnsi="Tahoma" w:cs="Tahoma"/>
                <w:sz w:val="20"/>
                <w:szCs w:val="20"/>
              </w:rPr>
              <w:t>10</w:t>
            </w:r>
          </w:p>
        </w:tc>
        <w:tc>
          <w:tcPr>
            <w:tcW w:w="1740" w:type="dxa"/>
            <w:tcBorders>
              <w:top w:val="nil"/>
              <w:left w:val="nil"/>
              <w:bottom w:val="nil"/>
              <w:right w:val="single" w:sz="4" w:space="0" w:color="auto"/>
            </w:tcBorders>
            <w:shd w:val="clear" w:color="auto" w:fill="auto"/>
            <w:noWrap/>
            <w:vAlign w:val="bottom"/>
          </w:tcPr>
          <w:p w14:paraId="57D3C246" w14:textId="77777777" w:rsidR="00936AF9" w:rsidRDefault="00936AF9" w:rsidP="00936AF9">
            <w:pPr>
              <w:jc w:val="center"/>
              <w:rPr>
                <w:rFonts w:ascii="Tahoma" w:hAnsi="Tahoma" w:cs="Tahoma"/>
                <w:sz w:val="20"/>
                <w:szCs w:val="20"/>
              </w:rPr>
            </w:pPr>
            <w:r>
              <w:rPr>
                <w:rFonts w:ascii="Tahoma" w:hAnsi="Tahoma" w:cs="Tahoma"/>
                <w:sz w:val="20"/>
                <w:szCs w:val="20"/>
              </w:rPr>
              <w:t>190</w:t>
            </w:r>
          </w:p>
        </w:tc>
      </w:tr>
      <w:tr w:rsidR="00936AF9" w14:paraId="04485EE8" w14:textId="77777777" w:rsidTr="00936AF9">
        <w:trPr>
          <w:trHeight w:val="255"/>
          <w:jc w:val="center"/>
        </w:trPr>
        <w:tc>
          <w:tcPr>
            <w:tcW w:w="1800" w:type="dxa"/>
            <w:tcBorders>
              <w:top w:val="nil"/>
              <w:left w:val="single" w:sz="4" w:space="0" w:color="auto"/>
              <w:bottom w:val="single" w:sz="4" w:space="0" w:color="auto"/>
              <w:right w:val="single" w:sz="4" w:space="0" w:color="auto"/>
            </w:tcBorders>
            <w:shd w:val="clear" w:color="auto" w:fill="auto"/>
            <w:noWrap/>
            <w:vAlign w:val="bottom"/>
          </w:tcPr>
          <w:p w14:paraId="7734C4FB" w14:textId="77777777" w:rsidR="00936AF9" w:rsidRDefault="00936AF9" w:rsidP="00936AF9">
            <w:pPr>
              <w:jc w:val="center"/>
              <w:rPr>
                <w:rFonts w:ascii="Tahoma" w:hAnsi="Tahoma" w:cs="Tahoma"/>
                <w:sz w:val="20"/>
                <w:szCs w:val="20"/>
              </w:rPr>
            </w:pPr>
            <w:r>
              <w:rPr>
                <w:rFonts w:ascii="Tahoma" w:hAnsi="Tahoma" w:cs="Tahoma"/>
                <w:sz w:val="20"/>
                <w:szCs w:val="20"/>
              </w:rPr>
              <w:t>180</w:t>
            </w:r>
          </w:p>
        </w:tc>
        <w:tc>
          <w:tcPr>
            <w:tcW w:w="1780" w:type="dxa"/>
            <w:tcBorders>
              <w:top w:val="nil"/>
              <w:left w:val="nil"/>
              <w:bottom w:val="single" w:sz="4" w:space="0" w:color="auto"/>
              <w:right w:val="nil"/>
            </w:tcBorders>
            <w:shd w:val="clear" w:color="auto" w:fill="auto"/>
            <w:noWrap/>
            <w:vAlign w:val="bottom"/>
          </w:tcPr>
          <w:p w14:paraId="3E75BDE8" w14:textId="77777777" w:rsidR="00936AF9" w:rsidRDefault="00936AF9" w:rsidP="00936AF9">
            <w:pPr>
              <w:jc w:val="center"/>
              <w:rPr>
                <w:rFonts w:ascii="Tahoma" w:hAnsi="Tahoma" w:cs="Tahoma"/>
                <w:sz w:val="20"/>
                <w:szCs w:val="20"/>
              </w:rPr>
            </w:pPr>
            <w:r>
              <w:rPr>
                <w:rFonts w:ascii="Tahoma" w:hAnsi="Tahoma" w:cs="Tahoma"/>
                <w:sz w:val="20"/>
                <w:szCs w:val="20"/>
              </w:rPr>
              <w:t>0</w:t>
            </w:r>
          </w:p>
        </w:tc>
        <w:tc>
          <w:tcPr>
            <w:tcW w:w="1740" w:type="dxa"/>
            <w:tcBorders>
              <w:top w:val="nil"/>
              <w:left w:val="single" w:sz="4" w:space="0" w:color="auto"/>
              <w:bottom w:val="single" w:sz="4" w:space="0" w:color="auto"/>
              <w:right w:val="single" w:sz="4" w:space="0" w:color="auto"/>
            </w:tcBorders>
            <w:shd w:val="clear" w:color="auto" w:fill="auto"/>
            <w:noWrap/>
            <w:vAlign w:val="bottom"/>
          </w:tcPr>
          <w:p w14:paraId="46033656" w14:textId="77777777" w:rsidR="00936AF9" w:rsidRDefault="00936AF9" w:rsidP="00936AF9">
            <w:pPr>
              <w:jc w:val="center"/>
              <w:rPr>
                <w:rFonts w:ascii="Tahoma" w:hAnsi="Tahoma" w:cs="Tahoma"/>
                <w:sz w:val="20"/>
                <w:szCs w:val="20"/>
              </w:rPr>
            </w:pPr>
            <w:r>
              <w:rPr>
                <w:rFonts w:ascii="Tahoma" w:hAnsi="Tahoma" w:cs="Tahoma"/>
                <w:sz w:val="20"/>
                <w:szCs w:val="20"/>
              </w:rPr>
              <w:t>180</w:t>
            </w:r>
          </w:p>
        </w:tc>
      </w:tr>
    </w:tbl>
    <w:p w14:paraId="676D9FB4" w14:textId="77777777" w:rsidR="00936AF9" w:rsidRDefault="00936AF9" w:rsidP="00936AF9"/>
    <w:p w14:paraId="7394A9C8" w14:textId="77777777" w:rsidR="00936AF9" w:rsidRDefault="00936AF9" w:rsidP="00936AF9">
      <w:pPr>
        <w:numPr>
          <w:ilvl w:val="0"/>
          <w:numId w:val="45"/>
        </w:numPr>
        <w:spacing w:before="120" w:after="120"/>
      </w:pPr>
      <w:r>
        <w:t xml:space="preserve">When the measured sector boundary angles have been converted, they should be examined to see how closely aligned they are with the goniometer datum. It should be remembered that the sector boundaries are accurate to within </w:t>
      </w:r>
      <w:r>
        <w:rPr>
          <w:rFonts w:cs="Arial"/>
        </w:rPr>
        <w:t>±</w:t>
      </w:r>
      <w:r>
        <w:t xml:space="preserve">0.01 degrees with respect to each other but only to within </w:t>
      </w:r>
      <w:r>
        <w:rPr>
          <w:rFonts w:cs="Arial"/>
        </w:rPr>
        <w:t>±</w:t>
      </w:r>
      <w:r>
        <w:t>0.15 degrees with respect to datum.</w:t>
      </w:r>
    </w:p>
    <w:p w14:paraId="2942655A" w14:textId="77777777" w:rsidR="00936AF9" w:rsidRDefault="00936AF9" w:rsidP="00936AF9">
      <w:pPr>
        <w:numPr>
          <w:ilvl w:val="0"/>
          <w:numId w:val="45"/>
        </w:numPr>
        <w:spacing w:before="120" w:after="120"/>
      </w:pPr>
      <w:r>
        <w:t>Adjustments should then be made to find the most appropriate position corresponding to true North on the perimeter of the sector light assembly.</w:t>
      </w:r>
    </w:p>
    <w:p w14:paraId="733705BC" w14:textId="77777777" w:rsidR="00936AF9" w:rsidRDefault="00936AF9" w:rsidP="00936AF9">
      <w:pPr>
        <w:numPr>
          <w:ilvl w:val="0"/>
          <w:numId w:val="45"/>
        </w:numPr>
        <w:spacing w:before="120" w:after="120"/>
      </w:pPr>
      <w:r>
        <w:t>The goniometer should then be rotated so that the appropriate true North position is aligned with the measurement aperture and the shadow-casting technique used to mark that position on the sector light perimeter.</w:t>
      </w:r>
    </w:p>
    <w:p w14:paraId="20E3E78C" w14:textId="77777777" w:rsidR="00936AF9" w:rsidRDefault="00936AF9" w:rsidP="00936AF9">
      <w:pPr>
        <w:keepNext/>
        <w:jc w:val="center"/>
      </w:pPr>
      <w:r>
        <w:rPr>
          <w:noProof/>
          <w:lang w:val="en-US" w:eastAsia="en-US"/>
        </w:rPr>
        <w:lastRenderedPageBreak/>
        <w:drawing>
          <wp:inline distT="0" distB="0" distL="0" distR="0" wp14:anchorId="4C190CDB" wp14:editId="780EFFC0">
            <wp:extent cx="652145" cy="1137285"/>
            <wp:effectExtent l="19050" t="0" r="0" b="0"/>
            <wp:docPr id="8" name="Picture 8" descr="true no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rue north"/>
                    <pic:cNvPicPr>
                      <a:picLocks noChangeAspect="1" noChangeArrowheads="1"/>
                    </pic:cNvPicPr>
                  </pic:nvPicPr>
                  <pic:blipFill>
                    <a:blip r:embed="rId15" cstate="print"/>
                    <a:srcRect/>
                    <a:stretch>
                      <a:fillRect/>
                    </a:stretch>
                  </pic:blipFill>
                  <pic:spPr bwMode="auto">
                    <a:xfrm>
                      <a:off x="0" y="0"/>
                      <a:ext cx="652145" cy="1137285"/>
                    </a:xfrm>
                    <a:prstGeom prst="rect">
                      <a:avLst/>
                    </a:prstGeom>
                    <a:noFill/>
                    <a:ln w="9525">
                      <a:noFill/>
                      <a:miter lim="800000"/>
                      <a:headEnd/>
                      <a:tailEnd/>
                    </a:ln>
                  </pic:spPr>
                </pic:pic>
              </a:graphicData>
            </a:graphic>
          </wp:inline>
        </w:drawing>
      </w:r>
    </w:p>
    <w:p w14:paraId="6236AF36" w14:textId="77777777" w:rsidR="00936AF9" w:rsidRDefault="00936AF9" w:rsidP="00936AF9">
      <w:pPr>
        <w:pStyle w:val="Caption"/>
      </w:pPr>
      <w:bookmarkStart w:id="8" w:name="_Toc276714454"/>
      <w:r>
        <w:t>Figure x True North mark on the Sector Light Perimeter</w:t>
      </w:r>
      <w:bookmarkEnd w:id="8"/>
    </w:p>
    <w:p w14:paraId="66ECA426" w14:textId="77777777" w:rsidR="00936AF9" w:rsidRDefault="00936AF9" w:rsidP="00936AF9">
      <w:r>
        <w:t>The true North mark would normally be placed on the uppermost perimeter of the light under test, unless otherwise requested.</w:t>
      </w:r>
    </w:p>
    <w:p w14:paraId="1F623779" w14:textId="77777777" w:rsidR="00936AF9" w:rsidRDefault="00936AF9" w:rsidP="00936AF9">
      <w:r>
        <w:t>Some manufacturers mark their sector lights with true North and/or South. A manufacturer’s datum mark can be used as the goniometer datum, thus alleviating the need to find and mark true North upon completion of the measurement.</w:t>
      </w:r>
    </w:p>
    <w:p w14:paraId="15F6E57E" w14:textId="77777777" w:rsidR="00936AF9" w:rsidRDefault="00936AF9" w:rsidP="00936AF9">
      <w:pPr>
        <w:pStyle w:val="Heading3"/>
        <w:tabs>
          <w:tab w:val="clear" w:pos="992"/>
          <w:tab w:val="num" w:pos="720"/>
        </w:tabs>
        <w:spacing w:before="240" w:after="60"/>
        <w:ind w:left="720" w:hanging="720"/>
      </w:pPr>
      <w:r>
        <w:t>Typical Uncertainties in Measurement</w:t>
      </w:r>
    </w:p>
    <w:p w14:paraId="3BCEBFA8" w14:textId="77777777" w:rsidR="00936AF9" w:rsidRDefault="00936AF9" w:rsidP="00936AF9">
      <w:pPr>
        <w:numPr>
          <w:ilvl w:val="0"/>
          <w:numId w:val="43"/>
        </w:numPr>
        <w:spacing w:before="120" w:after="120"/>
        <w:jc w:val="both"/>
      </w:pPr>
      <w:r>
        <w:t>Relative sector angle (sector to sector) – 0.01 degrees (insignificant);</w:t>
      </w:r>
    </w:p>
    <w:p w14:paraId="059B624E" w14:textId="77777777" w:rsidR="00936AF9" w:rsidRDefault="00936AF9" w:rsidP="00936AF9">
      <w:pPr>
        <w:numPr>
          <w:ilvl w:val="0"/>
          <w:numId w:val="43"/>
        </w:numPr>
        <w:spacing w:before="120" w:after="120"/>
        <w:jc w:val="both"/>
      </w:pPr>
      <w:r>
        <w:t>Concentricity of light source to goniometer table axis of rotation – 0.08 degrees (0.5mm in 375mm radius of goniometer table);</w:t>
      </w:r>
    </w:p>
    <w:p w14:paraId="35170EBF" w14:textId="77777777" w:rsidR="00936AF9" w:rsidRDefault="00936AF9" w:rsidP="00936AF9">
      <w:pPr>
        <w:numPr>
          <w:ilvl w:val="0"/>
          <w:numId w:val="43"/>
        </w:numPr>
        <w:spacing w:before="120" w:after="120"/>
        <w:jc w:val="both"/>
      </w:pPr>
      <w:r>
        <w:t>Goniometer datum alignment – 0.15 degrees (0.5mm in 375mm radius);</w:t>
      </w:r>
    </w:p>
    <w:p w14:paraId="509D8902" w14:textId="77777777" w:rsidR="00936AF9" w:rsidRDefault="00936AF9" w:rsidP="00936AF9">
      <w:pPr>
        <w:numPr>
          <w:ilvl w:val="0"/>
          <w:numId w:val="43"/>
        </w:numPr>
        <w:spacing w:before="120" w:after="120"/>
        <w:jc w:val="both"/>
      </w:pPr>
      <w:r>
        <w:t>Sector light datum alignment – 0.3 degrees (1.0mm in180mm);</w:t>
      </w:r>
    </w:p>
    <w:p w14:paraId="469DE07A" w14:textId="77777777" w:rsidR="00936AF9" w:rsidRDefault="00936AF9" w:rsidP="00936AF9">
      <w:pPr>
        <w:numPr>
          <w:ilvl w:val="0"/>
          <w:numId w:val="43"/>
        </w:numPr>
        <w:spacing w:before="120" w:after="120"/>
        <w:jc w:val="both"/>
      </w:pPr>
      <w:r>
        <w:t>True North transfer from sector positions – 0.3 degrees (1.0mm in180mm);</w:t>
      </w:r>
    </w:p>
    <w:p w14:paraId="31B97E7D" w14:textId="77777777" w:rsidR="00936AF9" w:rsidRDefault="00936AF9" w:rsidP="00936AF9">
      <w:pPr>
        <w:numPr>
          <w:ilvl w:val="0"/>
          <w:numId w:val="43"/>
        </w:numPr>
        <w:spacing w:before="120" w:after="120"/>
        <w:jc w:val="both"/>
      </w:pPr>
      <w:r>
        <w:t xml:space="preserve">Combined uncertainty by root sum of squares (RSS) – </w:t>
      </w:r>
      <w:proofErr w:type="gramStart"/>
      <w:r>
        <w:t>√(</w:t>
      </w:r>
      <w:proofErr w:type="gramEnd"/>
      <w:r>
        <w:t>0.08</w:t>
      </w:r>
      <w:r>
        <w:rPr>
          <w:vertAlign w:val="superscript"/>
        </w:rPr>
        <w:t>2</w:t>
      </w:r>
      <w:r>
        <w:t xml:space="preserve"> + 0.15</w:t>
      </w:r>
      <w:r>
        <w:rPr>
          <w:vertAlign w:val="superscript"/>
        </w:rPr>
        <w:t>2</w:t>
      </w:r>
      <w:r>
        <w:t xml:space="preserve"> + 0.3</w:t>
      </w:r>
      <w:r>
        <w:rPr>
          <w:vertAlign w:val="superscript"/>
        </w:rPr>
        <w:t>2</w:t>
      </w:r>
      <w:r>
        <w:t xml:space="preserve"> + 0.3</w:t>
      </w:r>
      <w:r>
        <w:rPr>
          <w:vertAlign w:val="superscript"/>
        </w:rPr>
        <w:t>2</w:t>
      </w:r>
      <w:r>
        <w:t>) = 0.46 degrees.</w:t>
      </w:r>
    </w:p>
    <w:p w14:paraId="343656E8" w14:textId="77777777" w:rsidR="00936AF9" w:rsidRDefault="00936AF9" w:rsidP="00936AF9">
      <w:r>
        <w:t>Please note that the measurement uncertainty does not include the "angle of uncertainty" between the different colours at the sector boundaries. These will be stated for each boundary in the measurement results.</w:t>
      </w:r>
    </w:p>
    <w:p w14:paraId="23B0BF6D" w14:textId="77777777" w:rsidR="00936AF9" w:rsidRDefault="00936AF9" w:rsidP="00936AF9">
      <w:pPr>
        <w:pStyle w:val="Heading2"/>
        <w:keepNext/>
        <w:tabs>
          <w:tab w:val="clear" w:pos="851"/>
          <w:tab w:val="num" w:pos="576"/>
        </w:tabs>
        <w:spacing w:before="240"/>
        <w:ind w:left="576" w:hanging="576"/>
        <w:jc w:val="both"/>
      </w:pPr>
      <w:bookmarkStart w:id="9" w:name="_Toc276714439"/>
      <w:r>
        <w:t>Installation</w:t>
      </w:r>
      <w:bookmarkEnd w:id="9"/>
    </w:p>
    <w:p w14:paraId="4EAC7477" w14:textId="77777777" w:rsidR="00936AF9" w:rsidRDefault="00936AF9" w:rsidP="00936AF9">
      <w:r>
        <w:t xml:space="preserve">The installation engineer should receive the stand-alone sector light after it has been measured on the light range. It should come with a mark on the perimeter denoting true North and a test sheet showing the relative positions of the measured sectors. During installation, there are essentially three stages of alignment: rough alignment of the lantern to true North; alignment of the lantern with a known landmark using the </w:t>
      </w:r>
      <w:proofErr w:type="spellStart"/>
      <w:r>
        <w:t>gunsight</w:t>
      </w:r>
      <w:proofErr w:type="spellEnd"/>
      <w:r>
        <w:t xml:space="preserve">; further fine adjustment of the lantern with a projected image of a sector boundary using the </w:t>
      </w:r>
      <w:proofErr w:type="spellStart"/>
      <w:r>
        <w:t>gunsight</w:t>
      </w:r>
      <w:proofErr w:type="spellEnd"/>
      <w:r>
        <w:t>. Each stage is a refinement of the previous one, thereby improving accuracy.</w:t>
      </w:r>
    </w:p>
    <w:p w14:paraId="48FCD817" w14:textId="77777777" w:rsidR="00936AF9" w:rsidRDefault="00936AF9" w:rsidP="00936AF9">
      <w:pPr>
        <w:pStyle w:val="Heading3"/>
        <w:tabs>
          <w:tab w:val="clear" w:pos="992"/>
          <w:tab w:val="num" w:pos="720"/>
        </w:tabs>
        <w:spacing w:before="240" w:after="60"/>
        <w:ind w:left="720" w:hanging="720"/>
      </w:pPr>
      <w:r>
        <w:t xml:space="preserve">Installation Procedure 1 (for </w:t>
      </w:r>
      <w:proofErr w:type="spellStart"/>
      <w:r>
        <w:t>Sabik</w:t>
      </w:r>
      <w:proofErr w:type="spellEnd"/>
      <w:r>
        <w:t xml:space="preserve"> LED 350 ODSL)</w:t>
      </w:r>
    </w:p>
    <w:p w14:paraId="26FAC28C" w14:textId="77777777" w:rsidR="00936AF9" w:rsidRDefault="00936AF9" w:rsidP="00936AF9">
      <w:pPr>
        <w:keepNext/>
        <w:jc w:val="center"/>
      </w:pPr>
      <w:r>
        <w:rPr>
          <w:noProof/>
          <w:lang w:val="en-US" w:eastAsia="en-US"/>
        </w:rPr>
        <w:drawing>
          <wp:inline distT="0" distB="0" distL="0" distR="0" wp14:anchorId="727672EA" wp14:editId="4523791D">
            <wp:extent cx="2385695" cy="1804670"/>
            <wp:effectExtent l="19050" t="0" r="0" b="0"/>
            <wp:docPr id="9" name="Picture 9" descr="Calvay Sabik LED 350 ODS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lvay Sabik LED 350 ODSL"/>
                    <pic:cNvPicPr>
                      <a:picLocks noChangeAspect="1" noChangeArrowheads="1"/>
                    </pic:cNvPicPr>
                  </pic:nvPicPr>
                  <pic:blipFill>
                    <a:blip r:embed="rId16" cstate="print"/>
                    <a:srcRect/>
                    <a:stretch>
                      <a:fillRect/>
                    </a:stretch>
                  </pic:blipFill>
                  <pic:spPr bwMode="auto">
                    <a:xfrm>
                      <a:off x="0" y="0"/>
                      <a:ext cx="2385695" cy="1804670"/>
                    </a:xfrm>
                    <a:prstGeom prst="rect">
                      <a:avLst/>
                    </a:prstGeom>
                    <a:noFill/>
                    <a:ln w="9525">
                      <a:noFill/>
                      <a:miter lim="800000"/>
                      <a:headEnd/>
                      <a:tailEnd/>
                    </a:ln>
                  </pic:spPr>
                </pic:pic>
              </a:graphicData>
            </a:graphic>
          </wp:inline>
        </w:drawing>
      </w:r>
      <w:r>
        <w:t xml:space="preserve"> </w:t>
      </w:r>
      <w:r>
        <w:rPr>
          <w:noProof/>
          <w:lang w:val="en-US" w:eastAsia="en-US"/>
        </w:rPr>
        <w:drawing>
          <wp:inline distT="0" distB="0" distL="0" distR="0" wp14:anchorId="7CEA1BFB" wp14:editId="3C407334">
            <wp:extent cx="1781175" cy="1797050"/>
            <wp:effectExtent l="19050" t="0" r="9525" b="0"/>
            <wp:docPr id="10" name="Picture 10" descr="Sabik LED 350 ODSL no snow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abik LED 350 ODSL no snow cover"/>
                    <pic:cNvPicPr>
                      <a:picLocks noChangeAspect="1" noChangeArrowheads="1"/>
                    </pic:cNvPicPr>
                  </pic:nvPicPr>
                  <pic:blipFill>
                    <a:blip r:embed="rId17" cstate="print"/>
                    <a:srcRect/>
                    <a:stretch>
                      <a:fillRect/>
                    </a:stretch>
                  </pic:blipFill>
                  <pic:spPr bwMode="auto">
                    <a:xfrm>
                      <a:off x="0" y="0"/>
                      <a:ext cx="1781175" cy="1797050"/>
                    </a:xfrm>
                    <a:prstGeom prst="rect">
                      <a:avLst/>
                    </a:prstGeom>
                    <a:noFill/>
                    <a:ln w="9525">
                      <a:noFill/>
                      <a:miter lim="800000"/>
                      <a:headEnd/>
                      <a:tailEnd/>
                    </a:ln>
                  </pic:spPr>
                </pic:pic>
              </a:graphicData>
            </a:graphic>
          </wp:inline>
        </w:drawing>
      </w:r>
      <w:r>
        <w:t xml:space="preserve"> </w:t>
      </w:r>
    </w:p>
    <w:p w14:paraId="7D0646AD" w14:textId="77777777" w:rsidR="00936AF9" w:rsidRDefault="00936AF9" w:rsidP="00936AF9">
      <w:pPr>
        <w:pStyle w:val="Caption"/>
        <w:spacing w:before="0" w:after="0"/>
      </w:pPr>
      <w:bookmarkStart w:id="10" w:name="_Toc276714455"/>
      <w:r>
        <w:t xml:space="preserve">Figure </w:t>
      </w:r>
      <w:fldSimple w:instr=" SEQ Figure \* ARABIC ">
        <w:r>
          <w:rPr>
            <w:noProof/>
          </w:rPr>
          <w:t>11</w:t>
        </w:r>
      </w:fldSimple>
      <w:r>
        <w:t xml:space="preserve"> Left: </w:t>
      </w:r>
      <w:proofErr w:type="spellStart"/>
      <w:r>
        <w:t>Sabik</w:t>
      </w:r>
      <w:proofErr w:type="spellEnd"/>
      <w:r>
        <w:t xml:space="preserve"> LED 350 ODSL LED Sector Light on </w:t>
      </w:r>
      <w:bookmarkEnd w:id="10"/>
      <w:r>
        <w:t>site</w:t>
      </w:r>
    </w:p>
    <w:p w14:paraId="74D26889" w14:textId="77777777" w:rsidR="00936AF9" w:rsidRDefault="00936AF9" w:rsidP="00936AF9">
      <w:pPr>
        <w:pStyle w:val="Caption"/>
        <w:spacing w:before="0" w:after="0"/>
      </w:pPr>
      <w:r>
        <w:t xml:space="preserve">Right: </w:t>
      </w:r>
      <w:proofErr w:type="spellStart"/>
      <w:r>
        <w:t>Sabik</w:t>
      </w:r>
      <w:proofErr w:type="spellEnd"/>
      <w:r>
        <w:t xml:space="preserve"> LED 350 ODSL LED Sector Light with snow cover removed</w:t>
      </w:r>
    </w:p>
    <w:p w14:paraId="47013C31" w14:textId="77777777" w:rsidR="00936AF9" w:rsidRDefault="00936AF9" w:rsidP="00936AF9"/>
    <w:p w14:paraId="156EF759" w14:textId="77777777" w:rsidR="00936AF9" w:rsidRDefault="00936AF9" w:rsidP="00936AF9">
      <w:pPr>
        <w:numPr>
          <w:ilvl w:val="0"/>
          <w:numId w:val="46"/>
        </w:numPr>
        <w:spacing w:before="120" w:after="120"/>
      </w:pPr>
      <w:r>
        <w:lastRenderedPageBreak/>
        <w:t>Before installation commences, measure and note down two or three true bearings from the light to conspicuous landmarks on a chart of the area of interest.</w:t>
      </w:r>
    </w:p>
    <w:p w14:paraId="5D13D91D" w14:textId="77777777" w:rsidR="00936AF9" w:rsidRDefault="00936AF9" w:rsidP="00936AF9">
      <w:pPr>
        <w:numPr>
          <w:ilvl w:val="0"/>
          <w:numId w:val="46"/>
        </w:numPr>
        <w:spacing w:before="120" w:after="120"/>
      </w:pPr>
      <w:r>
        <w:t>If replacing an existing light, mark the sector boundaries from the old light on a convenient existing structure. This can be used for confirmation after installation of the replacement light.</w:t>
      </w:r>
    </w:p>
    <w:p w14:paraId="5D7D07D3" w14:textId="77777777" w:rsidR="00936AF9" w:rsidRDefault="00936AF9" w:rsidP="00936AF9">
      <w:pPr>
        <w:numPr>
          <w:ilvl w:val="0"/>
          <w:numId w:val="46"/>
        </w:numPr>
        <w:spacing w:before="120" w:after="120"/>
      </w:pPr>
      <w:r>
        <w:t>This installation should be carried out in clear dry weather.</w:t>
      </w:r>
    </w:p>
    <w:p w14:paraId="20A1FEC6" w14:textId="77777777" w:rsidR="00936AF9" w:rsidRDefault="00936AF9" w:rsidP="00936AF9">
      <w:pPr>
        <w:numPr>
          <w:ilvl w:val="0"/>
          <w:numId w:val="46"/>
        </w:numPr>
        <w:spacing w:before="120" w:after="120"/>
      </w:pPr>
      <w:r>
        <w:t>Check that the serial number on the light agrees with the serial number on the test sheet.</w:t>
      </w:r>
    </w:p>
    <w:p w14:paraId="01B7B299" w14:textId="77777777" w:rsidR="00936AF9" w:rsidRDefault="00936AF9" w:rsidP="00936AF9">
      <w:pPr>
        <w:numPr>
          <w:ilvl w:val="0"/>
          <w:numId w:val="46"/>
        </w:numPr>
        <w:spacing w:before="120" w:after="120"/>
      </w:pPr>
      <w:r>
        <w:t>Check that the sectors shown on the test sheet agree with the navigational requirements of the station on which the light is being installed.</w:t>
      </w:r>
    </w:p>
    <w:p w14:paraId="7F4B41B0" w14:textId="77777777" w:rsidR="00936AF9" w:rsidRDefault="00936AF9" w:rsidP="00936AF9">
      <w:pPr>
        <w:numPr>
          <w:ilvl w:val="0"/>
          <w:numId w:val="46"/>
        </w:numPr>
        <w:spacing w:before="120" w:after="120"/>
      </w:pPr>
      <w:r>
        <w:t>Place the light in its assigned position, roughly aligning the true North datum mark on the light perimeter with true North using a magnetic compass or similar.</w:t>
      </w:r>
    </w:p>
    <w:p w14:paraId="0524004B" w14:textId="77777777" w:rsidR="00936AF9" w:rsidRDefault="00936AF9" w:rsidP="00936AF9">
      <w:pPr>
        <w:numPr>
          <w:ilvl w:val="0"/>
          <w:numId w:val="46"/>
        </w:numPr>
        <w:spacing w:before="120" w:after="120"/>
      </w:pPr>
      <w:r>
        <w:t>Use three bolts to loosely secure the light pedestal in place, bearing in mind that the light will have to be turned to finely adjust its position.</w:t>
      </w:r>
    </w:p>
    <w:p w14:paraId="512BF152" w14:textId="77777777" w:rsidR="00936AF9" w:rsidRDefault="00936AF9" w:rsidP="00936AF9">
      <w:pPr>
        <w:numPr>
          <w:ilvl w:val="0"/>
          <w:numId w:val="46"/>
        </w:numPr>
        <w:spacing w:before="120" w:after="120"/>
      </w:pPr>
      <w:r>
        <w:t>Remove the snow cover (</w:t>
      </w:r>
      <w:proofErr w:type="spellStart"/>
      <w:r>
        <w:t>Sabik</w:t>
      </w:r>
      <w:proofErr w:type="spellEnd"/>
      <w:r>
        <w:t xml:space="preserve"> LED 350 ODSL).</w:t>
      </w:r>
    </w:p>
    <w:p w14:paraId="1DD5B9D9" w14:textId="77777777" w:rsidR="00936AF9" w:rsidRDefault="00936AF9" w:rsidP="00936AF9">
      <w:pPr>
        <w:numPr>
          <w:ilvl w:val="0"/>
          <w:numId w:val="46"/>
        </w:numPr>
        <w:spacing w:before="120" w:after="120"/>
      </w:pPr>
      <w:r>
        <w:t>Ensure the light is fitted concentrically to the mounting/register plate.</w:t>
      </w:r>
    </w:p>
    <w:p w14:paraId="2B477241" w14:textId="77777777" w:rsidR="00936AF9" w:rsidRDefault="00936AF9" w:rsidP="00936AF9">
      <w:pPr>
        <w:numPr>
          <w:ilvl w:val="0"/>
          <w:numId w:val="46"/>
        </w:numPr>
        <w:spacing w:before="120" w:after="120"/>
      </w:pPr>
      <w:r>
        <w:t>Ensure the light is level by using a spirit level across the top fastening bolts of the light assembly.</w:t>
      </w:r>
    </w:p>
    <w:p w14:paraId="6EF6F8D5" w14:textId="77777777" w:rsidR="00936AF9" w:rsidRDefault="00936AF9" w:rsidP="00936AF9">
      <w:pPr>
        <w:keepNext/>
        <w:jc w:val="center"/>
      </w:pPr>
    </w:p>
    <w:p w14:paraId="13B4FFB0" w14:textId="77777777" w:rsidR="00936AF9" w:rsidRDefault="00936AF9" w:rsidP="00936AF9">
      <w:pPr>
        <w:rPr>
          <w:b/>
        </w:rPr>
      </w:pPr>
      <w:r>
        <w:rPr>
          <w:b/>
        </w:rPr>
        <w:t xml:space="preserve">Using the traditional </w:t>
      </w:r>
      <w:proofErr w:type="spellStart"/>
      <w:r>
        <w:rPr>
          <w:b/>
        </w:rPr>
        <w:t>gunsight</w:t>
      </w:r>
      <w:proofErr w:type="spellEnd"/>
      <w:r>
        <w:rPr>
          <w:b/>
        </w:rPr>
        <w:t xml:space="preserve"> mechanism</w:t>
      </w:r>
    </w:p>
    <w:p w14:paraId="21C1C39A" w14:textId="77777777" w:rsidR="00936AF9" w:rsidRDefault="00936AF9" w:rsidP="00936AF9">
      <w:r>
        <w:t>The (</w:t>
      </w:r>
      <w:proofErr w:type="spellStart"/>
      <w:r>
        <w:t>gunsight</w:t>
      </w:r>
      <w:proofErr w:type="spellEnd"/>
      <w:r>
        <w:t>) assembly consists of:</w:t>
      </w:r>
    </w:p>
    <w:p w14:paraId="2179BB6C" w14:textId="77777777" w:rsidR="00936AF9" w:rsidRDefault="00936AF9" w:rsidP="00936AF9">
      <w:pPr>
        <w:numPr>
          <w:ilvl w:val="0"/>
          <w:numId w:val="43"/>
        </w:numPr>
        <w:spacing w:before="120" w:after="120"/>
        <w:jc w:val="both"/>
      </w:pPr>
      <w:r>
        <w:t>An adaptor ring. This is fixed to the top of the lantern.</w:t>
      </w:r>
    </w:p>
    <w:p w14:paraId="5617D4DB" w14:textId="77777777" w:rsidR="00936AF9" w:rsidRDefault="00936AF9" w:rsidP="00936AF9">
      <w:pPr>
        <w:numPr>
          <w:ilvl w:val="0"/>
          <w:numId w:val="43"/>
        </w:numPr>
        <w:spacing w:before="120" w:after="120"/>
        <w:jc w:val="both"/>
      </w:pPr>
      <w:r>
        <w:t>A compass ring (360 degree). This is mated with the fixed adaptor ring and can be revolved and locked as required.</w:t>
      </w:r>
    </w:p>
    <w:p w14:paraId="6B4DBF5B" w14:textId="77777777" w:rsidR="00936AF9" w:rsidRDefault="00936AF9" w:rsidP="00936AF9">
      <w:pPr>
        <w:numPr>
          <w:ilvl w:val="0"/>
          <w:numId w:val="43"/>
        </w:numPr>
        <w:spacing w:before="120" w:after="120"/>
        <w:jc w:val="both"/>
      </w:pPr>
      <w:r>
        <w:t xml:space="preserve">A </w:t>
      </w:r>
      <w:proofErr w:type="spellStart"/>
      <w:r>
        <w:t>gunsight</w:t>
      </w:r>
      <w:proofErr w:type="spellEnd"/>
      <w:r>
        <w:t xml:space="preserve">. This is mated to the compass ring and can be revolved and locked as required. There is a sight-glass at the rear of the telescope that is used to read the </w:t>
      </w:r>
      <w:proofErr w:type="spellStart"/>
      <w:r>
        <w:t>gunsight</w:t>
      </w:r>
      <w:proofErr w:type="spellEnd"/>
      <w:r>
        <w:t xml:space="preserve"> reciprocal bearing relative to the compass ring.</w:t>
      </w:r>
    </w:p>
    <w:p w14:paraId="20B2F22F" w14:textId="77777777" w:rsidR="00936AF9" w:rsidRDefault="00936AF9" w:rsidP="00936AF9">
      <w:pPr>
        <w:keepNext/>
        <w:jc w:val="center"/>
      </w:pPr>
      <w:r>
        <w:rPr>
          <w:noProof/>
          <w:lang w:val="en-US" w:eastAsia="en-US"/>
        </w:rPr>
        <w:drawing>
          <wp:inline distT="0" distB="0" distL="0" distR="0" wp14:anchorId="0F907805" wp14:editId="34592166">
            <wp:extent cx="2544445" cy="1979930"/>
            <wp:effectExtent l="19050" t="0" r="8255" b="0"/>
            <wp:docPr id="11" name="Picture 11" descr="NLB Gunsight Component Pa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NLB Gunsight Component Parts"/>
                    <pic:cNvPicPr>
                      <a:picLocks noChangeAspect="1" noChangeArrowheads="1"/>
                    </pic:cNvPicPr>
                  </pic:nvPicPr>
                  <pic:blipFill>
                    <a:blip r:embed="rId18" cstate="print"/>
                    <a:srcRect/>
                    <a:stretch>
                      <a:fillRect/>
                    </a:stretch>
                  </pic:blipFill>
                  <pic:spPr bwMode="auto">
                    <a:xfrm>
                      <a:off x="0" y="0"/>
                      <a:ext cx="2544445" cy="1979930"/>
                    </a:xfrm>
                    <a:prstGeom prst="rect">
                      <a:avLst/>
                    </a:prstGeom>
                    <a:noFill/>
                    <a:ln w="9525">
                      <a:noFill/>
                      <a:miter lim="800000"/>
                      <a:headEnd/>
                      <a:tailEnd/>
                    </a:ln>
                  </pic:spPr>
                </pic:pic>
              </a:graphicData>
            </a:graphic>
          </wp:inline>
        </w:drawing>
      </w:r>
      <w:r>
        <w:t xml:space="preserve">   </w:t>
      </w:r>
      <w:r>
        <w:rPr>
          <w:noProof/>
          <w:lang w:val="en-US" w:eastAsia="en-US"/>
        </w:rPr>
        <w:drawing>
          <wp:inline distT="0" distB="0" distL="0" distR="0" wp14:anchorId="5A6307C4" wp14:editId="242DCF82">
            <wp:extent cx="2639695" cy="1979930"/>
            <wp:effectExtent l="19050" t="0" r="8255" b="0"/>
            <wp:docPr id="12" name="Picture 12" descr="NLB Gunsight Assemb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LB Gunsight Assembled"/>
                    <pic:cNvPicPr>
                      <a:picLocks noChangeAspect="1" noChangeArrowheads="1"/>
                    </pic:cNvPicPr>
                  </pic:nvPicPr>
                  <pic:blipFill>
                    <a:blip r:embed="rId19" cstate="print"/>
                    <a:srcRect/>
                    <a:stretch>
                      <a:fillRect/>
                    </a:stretch>
                  </pic:blipFill>
                  <pic:spPr bwMode="auto">
                    <a:xfrm>
                      <a:off x="0" y="0"/>
                      <a:ext cx="2639695" cy="1979930"/>
                    </a:xfrm>
                    <a:prstGeom prst="rect">
                      <a:avLst/>
                    </a:prstGeom>
                    <a:noFill/>
                    <a:ln w="9525">
                      <a:noFill/>
                      <a:miter lim="800000"/>
                      <a:headEnd/>
                      <a:tailEnd/>
                    </a:ln>
                  </pic:spPr>
                </pic:pic>
              </a:graphicData>
            </a:graphic>
          </wp:inline>
        </w:drawing>
      </w:r>
    </w:p>
    <w:p w14:paraId="0C01ACC0" w14:textId="77777777" w:rsidR="00936AF9" w:rsidRDefault="00936AF9" w:rsidP="00936AF9">
      <w:pPr>
        <w:pStyle w:val="Caption"/>
      </w:pPr>
      <w:bookmarkStart w:id="11" w:name="_Toc276714456"/>
      <w:r>
        <w:t xml:space="preserve">Figure x </w:t>
      </w:r>
      <w:proofErr w:type="spellStart"/>
      <w:r>
        <w:t>Gunsight</w:t>
      </w:r>
      <w:proofErr w:type="spellEnd"/>
      <w:r>
        <w:t xml:space="preserve"> - Component Parts (left) and Assembled (right)</w:t>
      </w:r>
      <w:bookmarkEnd w:id="11"/>
    </w:p>
    <w:p w14:paraId="374CF3A7" w14:textId="77777777" w:rsidR="00936AF9" w:rsidRDefault="00936AF9" w:rsidP="00936AF9">
      <w:r>
        <w:t xml:space="preserve">Using the </w:t>
      </w:r>
      <w:proofErr w:type="spellStart"/>
      <w:r>
        <w:t>gunsight</w:t>
      </w:r>
      <w:proofErr w:type="spellEnd"/>
      <w:r>
        <w:t>, carry out the following:</w:t>
      </w:r>
    </w:p>
    <w:p w14:paraId="1E2C2676" w14:textId="77777777" w:rsidR="00936AF9" w:rsidRDefault="00936AF9" w:rsidP="00936AF9">
      <w:pPr>
        <w:numPr>
          <w:ilvl w:val="0"/>
          <w:numId w:val="46"/>
        </w:numPr>
        <w:spacing w:before="120" w:after="120"/>
      </w:pPr>
      <w:r>
        <w:t>Fit the adaptor ring to the top of the light and fasten securely.</w:t>
      </w:r>
    </w:p>
    <w:p w14:paraId="1ECC39B6" w14:textId="77777777" w:rsidR="00936AF9" w:rsidRDefault="00936AF9" w:rsidP="00936AF9">
      <w:pPr>
        <w:numPr>
          <w:ilvl w:val="0"/>
          <w:numId w:val="46"/>
        </w:numPr>
        <w:spacing w:before="120" w:after="120"/>
      </w:pPr>
      <w:r>
        <w:t>Bolt the compass ring section onto the adaptor ring. Then position the gun sight to mate with the compass ring.</w:t>
      </w:r>
    </w:p>
    <w:p w14:paraId="1BCEC17A" w14:textId="77777777" w:rsidR="00936AF9" w:rsidRDefault="00936AF9" w:rsidP="00936AF9">
      <w:pPr>
        <w:numPr>
          <w:ilvl w:val="0"/>
          <w:numId w:val="46"/>
        </w:numPr>
        <w:spacing w:before="120" w:after="120"/>
      </w:pPr>
      <w:r>
        <w:t xml:space="preserve">Remove the lens cover(s) on the </w:t>
      </w:r>
      <w:proofErr w:type="spellStart"/>
      <w:r>
        <w:t>gunsight</w:t>
      </w:r>
      <w:proofErr w:type="spellEnd"/>
      <w:r>
        <w:t>.</w:t>
      </w:r>
    </w:p>
    <w:p w14:paraId="65E12E4C" w14:textId="77777777" w:rsidR="00936AF9" w:rsidRDefault="00936AF9" w:rsidP="00936AF9">
      <w:pPr>
        <w:numPr>
          <w:ilvl w:val="0"/>
          <w:numId w:val="46"/>
        </w:numPr>
        <w:spacing w:before="120" w:after="120"/>
      </w:pPr>
      <w:r>
        <w:t xml:space="preserve">Look through the 'wrong end' of the </w:t>
      </w:r>
      <w:proofErr w:type="spellStart"/>
      <w:r>
        <w:t>gunsight</w:t>
      </w:r>
      <w:proofErr w:type="spellEnd"/>
      <w:r>
        <w:t xml:space="preserve"> and align the vertical cross hair with the true North datum mark on the sector light perimeter and lock the </w:t>
      </w:r>
      <w:proofErr w:type="spellStart"/>
      <w:r>
        <w:t>gunsight</w:t>
      </w:r>
      <w:proofErr w:type="spellEnd"/>
      <w:r>
        <w:t xml:space="preserve"> in position.</w:t>
      </w:r>
    </w:p>
    <w:p w14:paraId="0ABA16AB" w14:textId="77777777" w:rsidR="00936AF9" w:rsidRDefault="00936AF9" w:rsidP="00936AF9">
      <w:pPr>
        <w:numPr>
          <w:ilvl w:val="0"/>
          <w:numId w:val="46"/>
        </w:numPr>
        <w:spacing w:before="120" w:after="120"/>
      </w:pPr>
      <w:r>
        <w:lastRenderedPageBreak/>
        <w:t xml:space="preserve">Rotate the compass ring so that 0 degrees is aligned with the sight-glass at the rear of the </w:t>
      </w:r>
      <w:proofErr w:type="spellStart"/>
      <w:r>
        <w:t>gunsight</w:t>
      </w:r>
      <w:proofErr w:type="spellEnd"/>
      <w:r>
        <w:t>.</w:t>
      </w:r>
    </w:p>
    <w:p w14:paraId="200457AB" w14:textId="77777777" w:rsidR="00936AF9" w:rsidRDefault="00936AF9" w:rsidP="00936AF9">
      <w:pPr>
        <w:numPr>
          <w:ilvl w:val="0"/>
          <w:numId w:val="46"/>
        </w:numPr>
        <w:spacing w:before="120" w:after="120"/>
      </w:pPr>
      <w:r>
        <w:t>Lock the compass ring.</w:t>
      </w:r>
    </w:p>
    <w:p w14:paraId="61A401C7" w14:textId="77777777" w:rsidR="00936AF9" w:rsidRDefault="00936AF9" w:rsidP="00936AF9">
      <w:pPr>
        <w:numPr>
          <w:ilvl w:val="0"/>
          <w:numId w:val="46"/>
        </w:numPr>
        <w:spacing w:before="120" w:after="120"/>
      </w:pPr>
      <w:r>
        <w:t xml:space="preserve">Unlock the </w:t>
      </w:r>
      <w:proofErr w:type="spellStart"/>
      <w:r>
        <w:t>gunsight</w:t>
      </w:r>
      <w:proofErr w:type="spellEnd"/>
      <w:r>
        <w:t xml:space="preserve"> and rotate it so that the sight glass is aligned with the reciprocal bearing of one of the conspicuous landmarks previously taken from the appropriate chart. </w:t>
      </w:r>
    </w:p>
    <w:p w14:paraId="6BE51425" w14:textId="77777777" w:rsidR="00936AF9" w:rsidRDefault="00936AF9" w:rsidP="00936AF9">
      <w:pPr>
        <w:numPr>
          <w:ilvl w:val="0"/>
          <w:numId w:val="46"/>
        </w:numPr>
        <w:spacing w:before="120" w:after="120"/>
      </w:pPr>
      <w:r>
        <w:t xml:space="preserve">Lock the </w:t>
      </w:r>
      <w:proofErr w:type="spellStart"/>
      <w:r>
        <w:t>gunsight</w:t>
      </w:r>
      <w:proofErr w:type="spellEnd"/>
      <w:r>
        <w:t>.</w:t>
      </w:r>
    </w:p>
    <w:p w14:paraId="4E42BC03" w14:textId="77777777" w:rsidR="00936AF9" w:rsidRDefault="00936AF9" w:rsidP="00936AF9">
      <w:pPr>
        <w:numPr>
          <w:ilvl w:val="0"/>
          <w:numId w:val="46"/>
        </w:numPr>
        <w:spacing w:before="120" w:after="120"/>
      </w:pPr>
      <w:r>
        <w:t xml:space="preserve">Rotate the sector light assembly until the conspicuous landmark is aligned with the cross hairs of the </w:t>
      </w:r>
      <w:proofErr w:type="spellStart"/>
      <w:r>
        <w:t>gunsight</w:t>
      </w:r>
      <w:proofErr w:type="spellEnd"/>
      <w:r>
        <w:t>.</w:t>
      </w:r>
    </w:p>
    <w:p w14:paraId="7133A092" w14:textId="77777777" w:rsidR="00936AF9" w:rsidRDefault="00936AF9" w:rsidP="00936AF9">
      <w:pPr>
        <w:numPr>
          <w:ilvl w:val="0"/>
          <w:numId w:val="46"/>
        </w:numPr>
        <w:spacing w:before="120" w:after="120"/>
      </w:pPr>
      <w:r>
        <w:t>Tighten the fixing bolts on the sector light pedestal.</w:t>
      </w:r>
    </w:p>
    <w:p w14:paraId="64A3E6F1" w14:textId="77777777" w:rsidR="00936AF9" w:rsidRDefault="00936AF9" w:rsidP="00936AF9">
      <w:pPr>
        <w:numPr>
          <w:ilvl w:val="0"/>
          <w:numId w:val="46"/>
        </w:numPr>
        <w:spacing w:before="120" w:after="120"/>
      </w:pPr>
      <w:r>
        <w:t>Check the level and concentricity once more.</w:t>
      </w:r>
    </w:p>
    <w:p w14:paraId="7EDF8696" w14:textId="77777777" w:rsidR="00936AF9" w:rsidRDefault="00936AF9" w:rsidP="00936AF9">
      <w:pPr>
        <w:numPr>
          <w:ilvl w:val="0"/>
          <w:numId w:val="46"/>
        </w:numPr>
        <w:spacing w:before="120" w:after="120"/>
      </w:pPr>
      <w:r>
        <w:t xml:space="preserve">Unlock the </w:t>
      </w:r>
      <w:proofErr w:type="spellStart"/>
      <w:r>
        <w:t>gunsight</w:t>
      </w:r>
      <w:proofErr w:type="spellEnd"/>
      <w:r>
        <w:t xml:space="preserve"> and check the bearings of other conspicuous landmarks.</w:t>
      </w:r>
    </w:p>
    <w:p w14:paraId="603B1CEE" w14:textId="77777777" w:rsidR="00936AF9" w:rsidRDefault="00936AF9" w:rsidP="00936AF9">
      <w:r>
        <w:t xml:space="preserve">The </w:t>
      </w:r>
      <w:proofErr w:type="spellStart"/>
      <w:r>
        <w:t>gunsight</w:t>
      </w:r>
      <w:proofErr w:type="spellEnd"/>
      <w:r>
        <w:t xml:space="preserve"> is a useful visual alignment tool. However, if access to all sides of the sector light is restricted, the ability to use the </w:t>
      </w:r>
      <w:proofErr w:type="spellStart"/>
      <w:r>
        <w:t>gunsight</w:t>
      </w:r>
      <w:proofErr w:type="spellEnd"/>
      <w:r>
        <w:t xml:space="preserve"> through all desired angles may not be feasible. In this case, some of the alignment may be carried out by mechanical rather than visual methods – e.g. an engineer’s square and straightedge.</w:t>
      </w:r>
    </w:p>
    <w:p w14:paraId="56D1BACA" w14:textId="77777777" w:rsidR="00936AF9" w:rsidRDefault="00936AF9" w:rsidP="00936AF9">
      <w:pPr>
        <w:keepNext/>
        <w:jc w:val="center"/>
      </w:pPr>
      <w:r>
        <w:rPr>
          <w:b/>
          <w:noProof/>
          <w:lang w:val="en-US" w:eastAsia="en-US"/>
        </w:rPr>
        <w:drawing>
          <wp:inline distT="0" distB="0" distL="0" distR="0" wp14:anchorId="0C7E77E2" wp14:editId="6AC9E1C8">
            <wp:extent cx="3903980" cy="2926080"/>
            <wp:effectExtent l="19050" t="0" r="1270" b="0"/>
            <wp:docPr id="13" name="Picture 13" descr="Mechanical Alig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echanical Alignment"/>
                    <pic:cNvPicPr>
                      <a:picLocks noChangeAspect="1" noChangeArrowheads="1"/>
                    </pic:cNvPicPr>
                  </pic:nvPicPr>
                  <pic:blipFill>
                    <a:blip r:embed="rId20" cstate="print"/>
                    <a:srcRect/>
                    <a:stretch>
                      <a:fillRect/>
                    </a:stretch>
                  </pic:blipFill>
                  <pic:spPr bwMode="auto">
                    <a:xfrm>
                      <a:off x="0" y="0"/>
                      <a:ext cx="3903980" cy="2926080"/>
                    </a:xfrm>
                    <a:prstGeom prst="rect">
                      <a:avLst/>
                    </a:prstGeom>
                    <a:noFill/>
                    <a:ln w="9525">
                      <a:noFill/>
                      <a:miter lim="800000"/>
                      <a:headEnd/>
                      <a:tailEnd/>
                    </a:ln>
                  </pic:spPr>
                </pic:pic>
              </a:graphicData>
            </a:graphic>
          </wp:inline>
        </w:drawing>
      </w:r>
    </w:p>
    <w:p w14:paraId="46F7B98A" w14:textId="77777777" w:rsidR="00936AF9" w:rsidRDefault="00936AF9" w:rsidP="00936AF9">
      <w:pPr>
        <w:pStyle w:val="Caption"/>
        <w:rPr>
          <w:b w:val="0"/>
        </w:rPr>
      </w:pPr>
      <w:bookmarkStart w:id="12" w:name="_Toc276714457"/>
      <w:r>
        <w:t xml:space="preserve">Figure x Mechanical Alignment of </w:t>
      </w:r>
      <w:proofErr w:type="spellStart"/>
      <w:r>
        <w:t>Gunsight</w:t>
      </w:r>
      <w:proofErr w:type="spellEnd"/>
      <w:r>
        <w:t xml:space="preserve"> Ring to true North using Engineer’s Square and Straightedge</w:t>
      </w:r>
      <w:bookmarkEnd w:id="12"/>
    </w:p>
    <w:p w14:paraId="2895BB07" w14:textId="77777777" w:rsidR="00936AF9" w:rsidRDefault="00936AF9" w:rsidP="00936AF9">
      <w:r>
        <w:rPr>
          <w:b/>
        </w:rPr>
        <w:t>Optional further improvement of sector accuracy</w:t>
      </w:r>
    </w:p>
    <w:p w14:paraId="1334B17F" w14:textId="77777777" w:rsidR="00936AF9" w:rsidRDefault="00936AF9" w:rsidP="00936AF9">
      <w:r>
        <w:t>The sector accuracy may be improved by using a projected image of the sector edge, but this may not always be practicable. Where practicable, to improve the sector accuracy:</w:t>
      </w:r>
    </w:p>
    <w:p w14:paraId="678A0038" w14:textId="77777777" w:rsidR="00936AF9" w:rsidRDefault="00936AF9" w:rsidP="00936AF9">
      <w:pPr>
        <w:numPr>
          <w:ilvl w:val="0"/>
          <w:numId w:val="46"/>
        </w:numPr>
        <w:spacing w:before="120" w:after="120"/>
      </w:pPr>
      <w:r>
        <w:t>Wait till dusk and switch on the light</w:t>
      </w:r>
    </w:p>
    <w:p w14:paraId="34374F31" w14:textId="77777777" w:rsidR="00936AF9" w:rsidRDefault="00936AF9" w:rsidP="00936AF9">
      <w:pPr>
        <w:numPr>
          <w:ilvl w:val="0"/>
          <w:numId w:val="46"/>
        </w:numPr>
        <w:spacing w:before="120" w:after="120"/>
      </w:pPr>
      <w:r>
        <w:t>Set the rhythmic character to fixed light.</w:t>
      </w:r>
    </w:p>
    <w:p w14:paraId="48E5E564" w14:textId="77777777" w:rsidR="00936AF9" w:rsidRDefault="00936AF9" w:rsidP="00936AF9">
      <w:pPr>
        <w:numPr>
          <w:ilvl w:val="0"/>
          <w:numId w:val="46"/>
        </w:numPr>
        <w:spacing w:before="120" w:after="120"/>
      </w:pPr>
      <w:r>
        <w:t xml:space="preserve">Use a large piece of white card as a screen on which to project the light emanating from the apparatus. Try and get the screen as far away from the light as possible whilst still maintaining a clear projected image. An assistant or a stand may be needed to hold the screen (choose a non-windy time).  </w:t>
      </w:r>
    </w:p>
    <w:p w14:paraId="369DF7F5" w14:textId="77777777" w:rsidR="00936AF9" w:rsidRDefault="00936AF9" w:rsidP="00936AF9">
      <w:pPr>
        <w:numPr>
          <w:ilvl w:val="0"/>
          <w:numId w:val="46"/>
        </w:numPr>
        <w:spacing w:before="120" w:after="120"/>
      </w:pPr>
      <w:r>
        <w:t>Move the screen around so that it shows a sector boundary.</w:t>
      </w:r>
    </w:p>
    <w:p w14:paraId="653E488B" w14:textId="77777777" w:rsidR="00936AF9" w:rsidRDefault="00936AF9" w:rsidP="00936AF9">
      <w:pPr>
        <w:numPr>
          <w:ilvl w:val="0"/>
          <w:numId w:val="46"/>
        </w:numPr>
        <w:spacing w:before="120" w:after="120"/>
      </w:pPr>
      <w:r>
        <w:t xml:space="preserve">Align the cross hairs of the </w:t>
      </w:r>
      <w:proofErr w:type="spellStart"/>
      <w:r>
        <w:t>gunsight</w:t>
      </w:r>
      <w:proofErr w:type="spellEnd"/>
      <w:r>
        <w:t xml:space="preserve"> with the sector boundary and lock the </w:t>
      </w:r>
      <w:proofErr w:type="spellStart"/>
      <w:r>
        <w:t>gunsight</w:t>
      </w:r>
      <w:proofErr w:type="spellEnd"/>
      <w:r>
        <w:t xml:space="preserve">. This may need to be done with the 'wrong end' of the </w:t>
      </w:r>
      <w:proofErr w:type="spellStart"/>
      <w:r>
        <w:t>gunsight</w:t>
      </w:r>
      <w:proofErr w:type="spellEnd"/>
      <w:r>
        <w:t xml:space="preserve"> if it cannot be focussed to a short distance.</w:t>
      </w:r>
    </w:p>
    <w:p w14:paraId="2171F4D5" w14:textId="77777777" w:rsidR="00936AF9" w:rsidRDefault="00936AF9" w:rsidP="00936AF9">
      <w:pPr>
        <w:numPr>
          <w:ilvl w:val="0"/>
          <w:numId w:val="46"/>
        </w:numPr>
        <w:spacing w:before="120" w:after="120"/>
      </w:pPr>
      <w:r>
        <w:lastRenderedPageBreak/>
        <w:t xml:space="preserve">Check that the bearing shown through the sight glass agrees with the navigation requirement for that sector edge. The reading through the sight glass may need to be a reciprocal bearing depending on whether the 'wrong end' of the </w:t>
      </w:r>
      <w:proofErr w:type="spellStart"/>
      <w:r>
        <w:t>gunsight</w:t>
      </w:r>
      <w:proofErr w:type="spellEnd"/>
      <w:r>
        <w:t xml:space="preserve"> was used or not.</w:t>
      </w:r>
    </w:p>
    <w:p w14:paraId="2BCA5E48" w14:textId="77777777" w:rsidR="00936AF9" w:rsidRDefault="00936AF9" w:rsidP="00936AF9">
      <w:pPr>
        <w:numPr>
          <w:ilvl w:val="0"/>
          <w:numId w:val="46"/>
        </w:numPr>
        <w:spacing w:before="120" w:after="120"/>
      </w:pPr>
      <w:r>
        <w:t>Check the remaining sector boundaries in a similar fashion.</w:t>
      </w:r>
    </w:p>
    <w:p w14:paraId="0D8FADE7" w14:textId="77777777" w:rsidR="00936AF9" w:rsidRDefault="00936AF9" w:rsidP="00936AF9">
      <w:pPr>
        <w:numPr>
          <w:ilvl w:val="0"/>
          <w:numId w:val="46"/>
        </w:numPr>
        <w:spacing w:before="120" w:after="120"/>
      </w:pPr>
      <w:r>
        <w:t>Once all sectors (or those able to be checked) have been checked, adjust the rotational position of the light if necessary and recheck against conspicuous landmarks.</w:t>
      </w:r>
    </w:p>
    <w:p w14:paraId="5C0F1DCE" w14:textId="77777777" w:rsidR="00936AF9" w:rsidRDefault="00936AF9" w:rsidP="00936AF9">
      <w:pPr>
        <w:numPr>
          <w:ilvl w:val="0"/>
          <w:numId w:val="46"/>
        </w:numPr>
        <w:spacing w:before="120" w:after="120"/>
      </w:pPr>
      <w:r>
        <w:t>On completion, return the rhythmic character to that assigned to the AtoN.</w:t>
      </w:r>
    </w:p>
    <w:p w14:paraId="4AF74C17" w14:textId="77777777" w:rsidR="00936AF9" w:rsidRDefault="00936AF9" w:rsidP="00936AF9">
      <w:pPr>
        <w:numPr>
          <w:ilvl w:val="0"/>
          <w:numId w:val="46"/>
        </w:numPr>
        <w:spacing w:before="120" w:after="120"/>
      </w:pPr>
      <w:r>
        <w:t>Replace the snow cover (</w:t>
      </w:r>
      <w:proofErr w:type="spellStart"/>
      <w:r>
        <w:t>Sabik</w:t>
      </w:r>
      <w:proofErr w:type="spellEnd"/>
      <w:r>
        <w:t xml:space="preserve"> LED 350 ODSL).</w:t>
      </w:r>
    </w:p>
    <w:p w14:paraId="0C2EE98C" w14:textId="77777777" w:rsidR="00936AF9" w:rsidRDefault="00936AF9" w:rsidP="00936AF9">
      <w:r>
        <w:t xml:space="preserve"> A theodolite or builder's level may be used instead of a </w:t>
      </w:r>
      <w:proofErr w:type="spellStart"/>
      <w:r>
        <w:t>gunsight</w:t>
      </w:r>
      <w:proofErr w:type="spellEnd"/>
      <w:r>
        <w:t xml:space="preserve"> but a 'transit' type is recommended, i.e. one where the sight can be swung vertically to view along a reciprocal bearing. It is preferable to choose a sight with a short focal distance to enable it to be focussed on the true North datum mark a few centimetres away. It is important to level the light accurately and then level the theodolite/builder’s level. Theodolites in particular are quite tall and any non vertical component will result in an angular error.</w:t>
      </w:r>
    </w:p>
    <w:p w14:paraId="7EC25581" w14:textId="77777777" w:rsidR="00936AF9" w:rsidRDefault="00936AF9" w:rsidP="00936AF9">
      <w:pPr>
        <w:keepNext/>
        <w:jc w:val="center"/>
      </w:pPr>
      <w:r>
        <w:rPr>
          <w:noProof/>
          <w:lang w:val="en-US" w:eastAsia="en-US"/>
        </w:rPr>
        <w:drawing>
          <wp:inline distT="0" distB="0" distL="0" distR="0" wp14:anchorId="5DE796D6" wp14:editId="18928036">
            <wp:extent cx="1812925" cy="3148965"/>
            <wp:effectExtent l="19050" t="0" r="0" b="0"/>
            <wp:docPr id="14" name="Picture 14" descr="transit_thedol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ransit_thedolite"/>
                    <pic:cNvPicPr>
                      <a:picLocks noChangeAspect="1" noChangeArrowheads="1"/>
                    </pic:cNvPicPr>
                  </pic:nvPicPr>
                  <pic:blipFill>
                    <a:blip r:embed="rId21" cstate="print"/>
                    <a:srcRect/>
                    <a:stretch>
                      <a:fillRect/>
                    </a:stretch>
                  </pic:blipFill>
                  <pic:spPr bwMode="auto">
                    <a:xfrm>
                      <a:off x="0" y="0"/>
                      <a:ext cx="1812925" cy="3148965"/>
                    </a:xfrm>
                    <a:prstGeom prst="rect">
                      <a:avLst/>
                    </a:prstGeom>
                    <a:noFill/>
                    <a:ln w="9525">
                      <a:noFill/>
                      <a:miter lim="800000"/>
                      <a:headEnd/>
                      <a:tailEnd/>
                    </a:ln>
                  </pic:spPr>
                </pic:pic>
              </a:graphicData>
            </a:graphic>
          </wp:inline>
        </w:drawing>
      </w:r>
      <w:r>
        <w:t xml:space="preserve">       </w:t>
      </w:r>
      <w:r>
        <w:rPr>
          <w:noProof/>
          <w:color w:val="FF0000"/>
          <w:lang w:val="en-US" w:eastAsia="en-US"/>
        </w:rPr>
        <w:drawing>
          <wp:inline distT="0" distB="0" distL="0" distR="0" wp14:anchorId="474D63BF" wp14:editId="7EF85ED7">
            <wp:extent cx="2966085" cy="2966085"/>
            <wp:effectExtent l="19050" t="0" r="5715" b="0"/>
            <wp:docPr id="15" name="Picture 15" descr="ES1555-David-White-LT6-900N-Meridian-Level-Transit-with-Horizontal-Circle-m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S1555-David-White-LT6-900N-Meridian-Level-Transit-with-Horizontal-Circle-md"/>
                    <pic:cNvPicPr>
                      <a:picLocks noChangeAspect="1" noChangeArrowheads="1"/>
                    </pic:cNvPicPr>
                  </pic:nvPicPr>
                  <pic:blipFill>
                    <a:blip r:embed="rId22" cstate="print"/>
                    <a:srcRect/>
                    <a:stretch>
                      <a:fillRect/>
                    </a:stretch>
                  </pic:blipFill>
                  <pic:spPr bwMode="auto">
                    <a:xfrm>
                      <a:off x="0" y="0"/>
                      <a:ext cx="2966085" cy="2966085"/>
                    </a:xfrm>
                    <a:prstGeom prst="rect">
                      <a:avLst/>
                    </a:prstGeom>
                    <a:noFill/>
                    <a:ln w="9525">
                      <a:noFill/>
                      <a:miter lim="800000"/>
                      <a:headEnd/>
                      <a:tailEnd/>
                    </a:ln>
                  </pic:spPr>
                </pic:pic>
              </a:graphicData>
            </a:graphic>
          </wp:inline>
        </w:drawing>
      </w:r>
    </w:p>
    <w:p w14:paraId="0057382B" w14:textId="77777777" w:rsidR="00936AF9" w:rsidRDefault="00936AF9" w:rsidP="00936AF9">
      <w:pPr>
        <w:pStyle w:val="Caption"/>
      </w:pPr>
      <w:bookmarkStart w:id="13" w:name="_Toc276714458"/>
      <w:r>
        <w:t>Figure x Transit Theodolite and Builders Level</w:t>
      </w:r>
      <w:bookmarkEnd w:id="13"/>
    </w:p>
    <w:p w14:paraId="2D12784E" w14:textId="77777777" w:rsidR="00936AF9" w:rsidRDefault="00936AF9" w:rsidP="00936AF9"/>
    <w:p w14:paraId="389E0208" w14:textId="77777777" w:rsidR="00936AF9" w:rsidRDefault="00936AF9" w:rsidP="00936AF9">
      <w:pPr>
        <w:pStyle w:val="Heading3"/>
        <w:tabs>
          <w:tab w:val="clear" w:pos="992"/>
          <w:tab w:val="num" w:pos="720"/>
        </w:tabs>
        <w:spacing w:before="240" w:after="60"/>
        <w:ind w:left="720" w:hanging="720"/>
      </w:pPr>
      <w:r>
        <w:lastRenderedPageBreak/>
        <w:t>Installation Procedure 2 (for Vega VSL-73)</w:t>
      </w:r>
    </w:p>
    <w:p w14:paraId="20C0CFE4" w14:textId="77777777" w:rsidR="00936AF9" w:rsidRDefault="00936AF9" w:rsidP="00936AF9">
      <w:pPr>
        <w:keepNext/>
        <w:jc w:val="center"/>
      </w:pPr>
      <w:r>
        <w:rPr>
          <w:b/>
          <w:noProof/>
          <w:lang w:val="en-US" w:eastAsia="en-US"/>
        </w:rPr>
        <w:drawing>
          <wp:inline distT="0" distB="0" distL="0" distR="0" wp14:anchorId="195B50C0" wp14:editId="5F3585ED">
            <wp:extent cx="2544445" cy="2202815"/>
            <wp:effectExtent l="19050" t="0" r="8255" b="0"/>
            <wp:docPr id="16" name="Picture 16" descr="vsl-73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sl-73_00"/>
                    <pic:cNvPicPr>
                      <a:picLocks noChangeAspect="1" noChangeArrowheads="1"/>
                    </pic:cNvPicPr>
                  </pic:nvPicPr>
                  <pic:blipFill>
                    <a:blip r:embed="rId23" cstate="print"/>
                    <a:srcRect/>
                    <a:stretch>
                      <a:fillRect/>
                    </a:stretch>
                  </pic:blipFill>
                  <pic:spPr bwMode="auto">
                    <a:xfrm>
                      <a:off x="0" y="0"/>
                      <a:ext cx="2544445" cy="2202815"/>
                    </a:xfrm>
                    <a:prstGeom prst="rect">
                      <a:avLst/>
                    </a:prstGeom>
                    <a:noFill/>
                    <a:ln w="9525">
                      <a:noFill/>
                      <a:miter lim="800000"/>
                      <a:headEnd/>
                      <a:tailEnd/>
                    </a:ln>
                  </pic:spPr>
                </pic:pic>
              </a:graphicData>
            </a:graphic>
          </wp:inline>
        </w:drawing>
      </w:r>
    </w:p>
    <w:p w14:paraId="1FF40F48" w14:textId="77777777" w:rsidR="00936AF9" w:rsidRDefault="00936AF9" w:rsidP="00936AF9">
      <w:pPr>
        <w:pStyle w:val="Caption"/>
        <w:rPr>
          <w:b w:val="0"/>
        </w:rPr>
      </w:pPr>
      <w:bookmarkStart w:id="14" w:name="_Toc276714459"/>
      <w:r>
        <w:t xml:space="preserve">Figure </w:t>
      </w:r>
      <w:fldSimple w:instr=" SEQ Figure \* ARABIC ">
        <w:r>
          <w:rPr>
            <w:noProof/>
          </w:rPr>
          <w:t>15</w:t>
        </w:r>
      </w:fldSimple>
      <w:r>
        <w:t xml:space="preserve"> Vega VSL-73 LED Sector Light</w:t>
      </w:r>
      <w:bookmarkEnd w:id="14"/>
    </w:p>
    <w:p w14:paraId="70FB127F" w14:textId="77777777" w:rsidR="00936AF9" w:rsidRDefault="00936AF9" w:rsidP="00936AF9">
      <w:pPr>
        <w:rPr>
          <w:b/>
        </w:rPr>
      </w:pPr>
      <w:r>
        <w:rPr>
          <w:b/>
        </w:rPr>
        <w:t>Using the register plate method</w:t>
      </w:r>
    </w:p>
    <w:p w14:paraId="6B018E11" w14:textId="77777777" w:rsidR="00936AF9" w:rsidRDefault="00936AF9" w:rsidP="00936AF9">
      <w:r>
        <w:t>The design of the register plate should include slotted fixing holes to enable it to be rotated about its vertical axis so that it can be aligned with the relevant landmarks and/or references. It should also include markings pertinent to the station on which the sector light is to be fitted as follows:</w:t>
      </w:r>
    </w:p>
    <w:p w14:paraId="35B40CCD" w14:textId="77777777" w:rsidR="00936AF9" w:rsidRDefault="00936AF9" w:rsidP="00936AF9">
      <w:pPr>
        <w:numPr>
          <w:ilvl w:val="0"/>
          <w:numId w:val="50"/>
        </w:numPr>
        <w:spacing w:before="120" w:after="120"/>
        <w:jc w:val="both"/>
      </w:pPr>
      <w:r>
        <w:t>a true North mark;</w:t>
      </w:r>
    </w:p>
    <w:p w14:paraId="575BDA3B" w14:textId="77777777" w:rsidR="00936AF9" w:rsidRDefault="00936AF9" w:rsidP="00936AF9">
      <w:pPr>
        <w:numPr>
          <w:ilvl w:val="0"/>
          <w:numId w:val="50"/>
        </w:numPr>
        <w:spacing w:before="120" w:after="120"/>
        <w:jc w:val="both"/>
      </w:pPr>
      <w:r>
        <w:t>a diametric line at the relative bearing of a previously agreed landmark or landmarks;</w:t>
      </w:r>
    </w:p>
    <w:p w14:paraId="79CFE764" w14:textId="77777777" w:rsidR="00936AF9" w:rsidRDefault="00936AF9" w:rsidP="00936AF9">
      <w:pPr>
        <w:numPr>
          <w:ilvl w:val="0"/>
          <w:numId w:val="50"/>
        </w:numPr>
        <w:spacing w:before="120" w:after="120"/>
        <w:jc w:val="both"/>
      </w:pPr>
      <w:r>
        <w:t>radial lines at the relative bearings of the sector boundaries;</w:t>
      </w:r>
    </w:p>
    <w:p w14:paraId="37ECDEFD" w14:textId="77777777" w:rsidR="00936AF9" w:rsidRDefault="00936AF9" w:rsidP="00936AF9">
      <w:pPr>
        <w:numPr>
          <w:ilvl w:val="0"/>
          <w:numId w:val="50"/>
        </w:numPr>
        <w:spacing w:before="120" w:after="120"/>
        <w:jc w:val="both"/>
      </w:pPr>
      <w:r>
        <w:t>colour identification of the sectors</w:t>
      </w:r>
    </w:p>
    <w:p w14:paraId="15336CE6" w14:textId="77777777" w:rsidR="00936AF9" w:rsidRDefault="00936AF9" w:rsidP="00936AF9">
      <w:pPr>
        <w:numPr>
          <w:ilvl w:val="0"/>
          <w:numId w:val="50"/>
        </w:numPr>
        <w:spacing w:before="120" w:after="120"/>
        <w:jc w:val="both"/>
      </w:pPr>
      <w:proofErr w:type="gramStart"/>
      <w:r>
        <w:t>note</w:t>
      </w:r>
      <w:proofErr w:type="gramEnd"/>
      <w:r>
        <w:t>: the thickness of the line markings on the register plate should be no more than 0.5mm.</w:t>
      </w:r>
    </w:p>
    <w:p w14:paraId="70E576FD" w14:textId="77777777" w:rsidR="00936AF9" w:rsidRDefault="00936AF9" w:rsidP="00936AF9">
      <w:pPr>
        <w:jc w:val="center"/>
        <w:rPr>
          <w:b/>
        </w:rPr>
      </w:pPr>
      <w:r>
        <w:rPr>
          <w:b/>
          <w:noProof/>
          <w:lang w:val="en-US" w:eastAsia="en-US"/>
        </w:rPr>
        <w:drawing>
          <wp:inline distT="0" distB="0" distL="0" distR="0" wp14:anchorId="235FCD6F" wp14:editId="2D58EA3A">
            <wp:extent cx="2679700" cy="2790825"/>
            <wp:effectExtent l="19050" t="0" r="6350" b="0"/>
            <wp:docPr id="17" name="Picture 17" descr="Vega VSL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ega VSL 73"/>
                    <pic:cNvPicPr>
                      <a:picLocks noChangeAspect="1" noChangeArrowheads="1"/>
                    </pic:cNvPicPr>
                  </pic:nvPicPr>
                  <pic:blipFill>
                    <a:blip r:embed="rId24" cstate="print"/>
                    <a:srcRect/>
                    <a:stretch>
                      <a:fillRect/>
                    </a:stretch>
                  </pic:blipFill>
                  <pic:spPr bwMode="auto">
                    <a:xfrm>
                      <a:off x="0" y="0"/>
                      <a:ext cx="2679700" cy="2790825"/>
                    </a:xfrm>
                    <a:prstGeom prst="rect">
                      <a:avLst/>
                    </a:prstGeom>
                    <a:noFill/>
                    <a:ln w="9525">
                      <a:noFill/>
                      <a:miter lim="800000"/>
                      <a:headEnd/>
                      <a:tailEnd/>
                    </a:ln>
                  </pic:spPr>
                </pic:pic>
              </a:graphicData>
            </a:graphic>
          </wp:inline>
        </w:drawing>
      </w:r>
    </w:p>
    <w:p w14:paraId="2E12B408" w14:textId="77777777" w:rsidR="00936AF9" w:rsidRDefault="00936AF9" w:rsidP="00936AF9">
      <w:pPr>
        <w:pStyle w:val="Caption"/>
        <w:rPr>
          <w:b w:val="0"/>
        </w:rPr>
      </w:pPr>
      <w:bookmarkStart w:id="15" w:name="_Toc276714460"/>
      <w:r>
        <w:t>Figure x Vega VSL-73 LED Sector Light mounted on a Register Plate</w:t>
      </w:r>
      <w:bookmarkEnd w:id="15"/>
    </w:p>
    <w:p w14:paraId="1E9174F2" w14:textId="77777777" w:rsidR="00936AF9" w:rsidRDefault="00936AF9" w:rsidP="00936AF9">
      <w:pPr>
        <w:jc w:val="center"/>
      </w:pPr>
    </w:p>
    <w:p w14:paraId="4D4019D1" w14:textId="77777777" w:rsidR="00936AF9" w:rsidRDefault="00936AF9" w:rsidP="00936AF9">
      <w:pPr>
        <w:keepNext/>
        <w:jc w:val="center"/>
      </w:pPr>
      <w:r>
        <w:rPr>
          <w:noProof/>
          <w:color w:val="FF0000"/>
          <w:lang w:val="en-US" w:eastAsia="en-US"/>
        </w:rPr>
        <w:lastRenderedPageBreak/>
        <w:drawing>
          <wp:inline distT="0" distB="0" distL="0" distR="0" wp14:anchorId="471E70D0" wp14:editId="75DAA8D0">
            <wp:extent cx="3705225" cy="3402965"/>
            <wp:effectExtent l="19050" t="0" r="9525" b="0"/>
            <wp:docPr id="18" name="Picture 18" descr="Register 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egister Plate"/>
                    <pic:cNvPicPr>
                      <a:picLocks noChangeAspect="1" noChangeArrowheads="1"/>
                    </pic:cNvPicPr>
                  </pic:nvPicPr>
                  <pic:blipFill>
                    <a:blip r:embed="rId25" cstate="print"/>
                    <a:srcRect/>
                    <a:stretch>
                      <a:fillRect/>
                    </a:stretch>
                  </pic:blipFill>
                  <pic:spPr bwMode="auto">
                    <a:xfrm>
                      <a:off x="0" y="0"/>
                      <a:ext cx="3705225" cy="3402965"/>
                    </a:xfrm>
                    <a:prstGeom prst="rect">
                      <a:avLst/>
                    </a:prstGeom>
                    <a:noFill/>
                    <a:ln w="9525">
                      <a:noFill/>
                      <a:miter lim="800000"/>
                      <a:headEnd/>
                      <a:tailEnd/>
                    </a:ln>
                  </pic:spPr>
                </pic:pic>
              </a:graphicData>
            </a:graphic>
          </wp:inline>
        </w:drawing>
      </w:r>
    </w:p>
    <w:p w14:paraId="2F2B3FB8" w14:textId="77777777" w:rsidR="00936AF9" w:rsidRDefault="00936AF9" w:rsidP="00936AF9">
      <w:pPr>
        <w:pStyle w:val="Caption"/>
      </w:pPr>
      <w:bookmarkStart w:id="16" w:name="_Toc276714461"/>
      <w:r>
        <w:t>Figure x Drawing of Register Plate</w:t>
      </w:r>
      <w:bookmarkEnd w:id="16"/>
    </w:p>
    <w:p w14:paraId="293832B0" w14:textId="77777777" w:rsidR="00936AF9" w:rsidRPr="005D47F3" w:rsidRDefault="00936AF9" w:rsidP="00936AF9">
      <w:pPr>
        <w:rPr>
          <w:i/>
          <w:sz w:val="18"/>
          <w:szCs w:val="18"/>
        </w:rPr>
      </w:pPr>
      <w:r w:rsidRPr="005D47F3">
        <w:rPr>
          <w:i/>
          <w:sz w:val="18"/>
          <w:szCs w:val="18"/>
        </w:rPr>
        <w:t>Please note that if the slotted hole for mounting is in line with the landmark bearing line, the nut and bolt may obscure your view along the line (across the plate).</w:t>
      </w:r>
    </w:p>
    <w:p w14:paraId="6BFD504B" w14:textId="77777777" w:rsidR="00936AF9" w:rsidRDefault="00936AF9" w:rsidP="00936AF9">
      <w:pPr>
        <w:numPr>
          <w:ilvl w:val="0"/>
          <w:numId w:val="49"/>
        </w:numPr>
        <w:spacing w:before="120" w:after="120"/>
        <w:jc w:val="both"/>
      </w:pPr>
      <w:r>
        <w:t>Before installation commences, check the bearings from the light to conspicuous landmarks on a chart of the area of interest.</w:t>
      </w:r>
    </w:p>
    <w:p w14:paraId="6FFE3C96" w14:textId="77777777" w:rsidR="00936AF9" w:rsidRDefault="00936AF9" w:rsidP="00936AF9">
      <w:pPr>
        <w:numPr>
          <w:ilvl w:val="0"/>
          <w:numId w:val="49"/>
        </w:numPr>
        <w:spacing w:before="120" w:after="120"/>
      </w:pPr>
      <w:r>
        <w:t>If replacing an existing light, mark the sector boundaries from the old light on a convenient existing structure. This can be used for confirmation after installation of the replacement light.</w:t>
      </w:r>
    </w:p>
    <w:p w14:paraId="076743B3" w14:textId="77777777" w:rsidR="00936AF9" w:rsidRDefault="00936AF9" w:rsidP="00936AF9">
      <w:pPr>
        <w:numPr>
          <w:ilvl w:val="0"/>
          <w:numId w:val="49"/>
        </w:numPr>
        <w:spacing w:before="120" w:after="120"/>
        <w:jc w:val="both"/>
      </w:pPr>
      <w:r>
        <w:t>This installation should be carried out in clear dry weather.</w:t>
      </w:r>
    </w:p>
    <w:p w14:paraId="1F9CF196" w14:textId="77777777" w:rsidR="00936AF9" w:rsidRDefault="00936AF9" w:rsidP="00936AF9">
      <w:pPr>
        <w:numPr>
          <w:ilvl w:val="0"/>
          <w:numId w:val="49"/>
        </w:numPr>
        <w:spacing w:before="120" w:after="120"/>
        <w:jc w:val="both"/>
      </w:pPr>
      <w:r>
        <w:t>Check that the serial number on the light agrees with the serial number on the test sheet.</w:t>
      </w:r>
    </w:p>
    <w:p w14:paraId="62ECCCE0" w14:textId="77777777" w:rsidR="00936AF9" w:rsidRDefault="00936AF9" w:rsidP="00936AF9">
      <w:pPr>
        <w:numPr>
          <w:ilvl w:val="0"/>
          <w:numId w:val="49"/>
        </w:numPr>
        <w:spacing w:before="120" w:after="120"/>
        <w:jc w:val="both"/>
      </w:pPr>
      <w:r>
        <w:t>Check that the sectors shown on the test sheet agree with the navigational requirements of the station on which the light is being installed.</w:t>
      </w:r>
    </w:p>
    <w:p w14:paraId="317C8EDC" w14:textId="77777777" w:rsidR="00936AF9" w:rsidRDefault="00936AF9" w:rsidP="00936AF9">
      <w:pPr>
        <w:numPr>
          <w:ilvl w:val="0"/>
          <w:numId w:val="49"/>
        </w:numPr>
        <w:spacing w:before="120" w:after="120"/>
        <w:jc w:val="both"/>
      </w:pPr>
      <w:r>
        <w:t>Place the register plate on the pedestal mounting plate, roughly aligning the true North radial mark on the register plate with true North using a magnetic compass or similar.</w:t>
      </w:r>
    </w:p>
    <w:p w14:paraId="12814D77" w14:textId="77777777" w:rsidR="00936AF9" w:rsidRDefault="00936AF9" w:rsidP="00936AF9">
      <w:pPr>
        <w:numPr>
          <w:ilvl w:val="0"/>
          <w:numId w:val="49"/>
        </w:numPr>
        <w:spacing w:before="120" w:after="120"/>
        <w:jc w:val="both"/>
      </w:pPr>
      <w:r>
        <w:t>Using three nuts and bolts, loosely secure the register plate in its approximate position on the mounting plate (bearing in mind that the plate will have to be turned to finely adjust its position).</w:t>
      </w:r>
    </w:p>
    <w:p w14:paraId="058582E9" w14:textId="77777777" w:rsidR="00936AF9" w:rsidRDefault="00936AF9" w:rsidP="00936AF9">
      <w:pPr>
        <w:keepNext/>
        <w:jc w:val="center"/>
      </w:pPr>
      <w:r>
        <w:rPr>
          <w:noProof/>
          <w:color w:val="FF0000"/>
          <w:lang w:val="en-US" w:eastAsia="en-US"/>
        </w:rPr>
        <w:drawing>
          <wp:inline distT="0" distB="0" distL="0" distR="0" wp14:anchorId="608B17D1" wp14:editId="531D8843">
            <wp:extent cx="3077210" cy="1336040"/>
            <wp:effectExtent l="19050" t="0" r="8890" b="0"/>
            <wp:docPr id="19" name="Picture 19" descr="Fi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ig 14"/>
                    <pic:cNvPicPr>
                      <a:picLocks noChangeAspect="1" noChangeArrowheads="1"/>
                    </pic:cNvPicPr>
                  </pic:nvPicPr>
                  <pic:blipFill>
                    <a:blip r:embed="rId26" cstate="print"/>
                    <a:srcRect/>
                    <a:stretch>
                      <a:fillRect/>
                    </a:stretch>
                  </pic:blipFill>
                  <pic:spPr bwMode="auto">
                    <a:xfrm>
                      <a:off x="0" y="0"/>
                      <a:ext cx="3077210" cy="1336040"/>
                    </a:xfrm>
                    <a:prstGeom prst="rect">
                      <a:avLst/>
                    </a:prstGeom>
                    <a:noFill/>
                    <a:ln w="9525">
                      <a:noFill/>
                      <a:miter lim="800000"/>
                      <a:headEnd/>
                      <a:tailEnd/>
                    </a:ln>
                  </pic:spPr>
                </pic:pic>
              </a:graphicData>
            </a:graphic>
          </wp:inline>
        </w:drawing>
      </w:r>
    </w:p>
    <w:p w14:paraId="6DFBCC5B" w14:textId="77777777" w:rsidR="00936AF9" w:rsidRDefault="00936AF9" w:rsidP="00936AF9">
      <w:pPr>
        <w:pStyle w:val="Caption"/>
        <w:rPr>
          <w:color w:val="FF0000"/>
        </w:rPr>
      </w:pPr>
      <w:bookmarkStart w:id="17" w:name="_Toc276714462"/>
      <w:r>
        <w:t>Figure x Mounting Details of Register Plate</w:t>
      </w:r>
      <w:bookmarkEnd w:id="17"/>
    </w:p>
    <w:p w14:paraId="6FDBA33C" w14:textId="77777777" w:rsidR="00936AF9" w:rsidRDefault="00936AF9" w:rsidP="00936AF9">
      <w:pPr>
        <w:numPr>
          <w:ilvl w:val="0"/>
          <w:numId w:val="49"/>
        </w:numPr>
        <w:spacing w:before="120" w:after="120"/>
        <w:jc w:val="both"/>
      </w:pPr>
      <w:r>
        <w:t>Look along the diametric landmark bearing line marked on the register plate in the direction of its respective landmark and rotate the plate until the diametric line is aligned with the landmark.</w:t>
      </w:r>
    </w:p>
    <w:p w14:paraId="58122F74" w14:textId="77777777" w:rsidR="00936AF9" w:rsidRDefault="00936AF9" w:rsidP="00936AF9">
      <w:pPr>
        <w:numPr>
          <w:ilvl w:val="0"/>
          <w:numId w:val="49"/>
        </w:numPr>
        <w:spacing w:before="120" w:after="120"/>
        <w:jc w:val="both"/>
      </w:pPr>
      <w:r>
        <w:t>If there are other landmarks, check their respective lines for correct alignment and adjust to get the best compromise between all landmarks.</w:t>
      </w:r>
    </w:p>
    <w:p w14:paraId="4CB35C51" w14:textId="77777777" w:rsidR="00936AF9" w:rsidRDefault="00936AF9" w:rsidP="00936AF9">
      <w:pPr>
        <w:numPr>
          <w:ilvl w:val="0"/>
          <w:numId w:val="49"/>
        </w:numPr>
        <w:spacing w:before="120" w:after="120"/>
        <w:jc w:val="both"/>
      </w:pPr>
      <w:r>
        <w:lastRenderedPageBreak/>
        <w:t>Tighten the three nuts and bolts carefully and recheck the landmark alignments.</w:t>
      </w:r>
    </w:p>
    <w:p w14:paraId="17E96DD7" w14:textId="77777777" w:rsidR="00936AF9" w:rsidRDefault="00936AF9" w:rsidP="00936AF9">
      <w:pPr>
        <w:numPr>
          <w:ilvl w:val="0"/>
          <w:numId w:val="49"/>
        </w:numPr>
        <w:spacing w:before="120" w:after="120"/>
        <w:jc w:val="both"/>
      </w:pPr>
      <w:r>
        <w:t xml:space="preserve">Mount the sector light assembly above the register plate using the same three bolts (see </w:t>
      </w:r>
      <w:r w:rsidRPr="005D47F3">
        <w:t xml:space="preserve">figure </w:t>
      </w:r>
      <w:r>
        <w:t>x</w:t>
      </w:r>
      <w:r w:rsidRPr="005D47F3">
        <w:t>)</w:t>
      </w:r>
      <w:r>
        <w:t xml:space="preserve"> and loosely secure (bearing in mind that the light will have to be turned to adjust its position).</w:t>
      </w:r>
    </w:p>
    <w:p w14:paraId="71277F7C" w14:textId="77777777" w:rsidR="00936AF9" w:rsidRDefault="00936AF9" w:rsidP="00936AF9">
      <w:pPr>
        <w:keepNext/>
        <w:jc w:val="center"/>
      </w:pPr>
      <w:r>
        <w:rPr>
          <w:noProof/>
          <w:lang w:val="en-US" w:eastAsia="en-US"/>
        </w:rPr>
        <w:drawing>
          <wp:inline distT="0" distB="0" distL="0" distR="0" wp14:anchorId="2F015C4A" wp14:editId="623E5693">
            <wp:extent cx="4460875" cy="2456815"/>
            <wp:effectExtent l="19050" t="0" r="0" b="0"/>
            <wp:docPr id="20" name="Picture 20" descr="Fi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Fig 15"/>
                    <pic:cNvPicPr>
                      <a:picLocks noChangeAspect="1" noChangeArrowheads="1"/>
                    </pic:cNvPicPr>
                  </pic:nvPicPr>
                  <pic:blipFill>
                    <a:blip r:embed="rId27" cstate="print"/>
                    <a:srcRect/>
                    <a:stretch>
                      <a:fillRect/>
                    </a:stretch>
                  </pic:blipFill>
                  <pic:spPr bwMode="auto">
                    <a:xfrm>
                      <a:off x="0" y="0"/>
                      <a:ext cx="4460875" cy="2456815"/>
                    </a:xfrm>
                    <a:prstGeom prst="rect">
                      <a:avLst/>
                    </a:prstGeom>
                    <a:noFill/>
                    <a:ln w="9525">
                      <a:noFill/>
                      <a:miter lim="800000"/>
                      <a:headEnd/>
                      <a:tailEnd/>
                    </a:ln>
                  </pic:spPr>
                </pic:pic>
              </a:graphicData>
            </a:graphic>
          </wp:inline>
        </w:drawing>
      </w:r>
    </w:p>
    <w:p w14:paraId="1352A299" w14:textId="77777777" w:rsidR="00936AF9" w:rsidRDefault="00936AF9" w:rsidP="00936AF9">
      <w:pPr>
        <w:pStyle w:val="Caption"/>
      </w:pPr>
      <w:bookmarkStart w:id="18" w:name="_Toc276714463"/>
      <w:r>
        <w:t>Figure x Drawing of Mounting of Sector Light and Register Plate</w:t>
      </w:r>
      <w:bookmarkEnd w:id="18"/>
    </w:p>
    <w:p w14:paraId="64348672" w14:textId="77777777" w:rsidR="00936AF9" w:rsidRDefault="00936AF9" w:rsidP="00936AF9">
      <w:r>
        <w:t>Note: This mounting method results in a gap between the sector light base and the register plate due to the thickness of the nut. This will increase the uncertainty of alignment between register plate and lantern.</w:t>
      </w:r>
    </w:p>
    <w:p w14:paraId="4E16AC77" w14:textId="77777777" w:rsidR="00936AF9" w:rsidRDefault="00936AF9" w:rsidP="00936AF9">
      <w:pPr>
        <w:numPr>
          <w:ilvl w:val="0"/>
          <w:numId w:val="49"/>
        </w:numPr>
        <w:spacing w:before="120" w:after="120"/>
        <w:jc w:val="both"/>
      </w:pPr>
      <w:r>
        <w:t>Ensure the light is level by using the integral level or a spirit level across the top of the light assembly.</w:t>
      </w:r>
    </w:p>
    <w:p w14:paraId="56E31E08" w14:textId="77777777" w:rsidR="00936AF9" w:rsidRDefault="00936AF9" w:rsidP="00936AF9">
      <w:pPr>
        <w:numPr>
          <w:ilvl w:val="0"/>
          <w:numId w:val="49"/>
        </w:numPr>
        <w:spacing w:before="120" w:after="120"/>
        <w:jc w:val="both"/>
      </w:pPr>
      <w:r>
        <w:t>Rotate the light assembly until the true North datum mark on the sector light base (marked during the light range measurement procedure or by the manufacturer) is aligned with the true North radial mark on the register plate.</w:t>
      </w:r>
    </w:p>
    <w:p w14:paraId="6203F9B6" w14:textId="77777777" w:rsidR="00936AF9" w:rsidRDefault="00936AF9" w:rsidP="00936AF9">
      <w:pPr>
        <w:numPr>
          <w:ilvl w:val="0"/>
          <w:numId w:val="49"/>
        </w:numPr>
        <w:spacing w:before="120" w:after="120"/>
        <w:jc w:val="both"/>
      </w:pPr>
      <w:r>
        <w:t>If appropriate, ensure all other marks on the lantern perimeter are aligned with their corresponding radial marks on the register plate.</w:t>
      </w:r>
    </w:p>
    <w:p w14:paraId="4D8FAF08" w14:textId="77777777" w:rsidR="00936AF9" w:rsidRDefault="00936AF9" w:rsidP="00936AF9">
      <w:pPr>
        <w:numPr>
          <w:ilvl w:val="0"/>
          <w:numId w:val="49"/>
        </w:numPr>
        <w:spacing w:before="120" w:after="120"/>
        <w:jc w:val="both"/>
      </w:pPr>
      <w:r>
        <w:t>Ensure that the light is fitted concentrically to the mounting/register plate.</w:t>
      </w:r>
    </w:p>
    <w:p w14:paraId="1C3A9FAC" w14:textId="77777777" w:rsidR="00936AF9" w:rsidRDefault="00936AF9" w:rsidP="00936AF9">
      <w:pPr>
        <w:numPr>
          <w:ilvl w:val="0"/>
          <w:numId w:val="49"/>
        </w:numPr>
        <w:spacing w:before="120" w:after="120"/>
        <w:jc w:val="both"/>
      </w:pPr>
      <w:r>
        <w:t>Tighten the three nuts carefully and recheck the alignment with the register plate.</w:t>
      </w:r>
    </w:p>
    <w:p w14:paraId="100C5431" w14:textId="77777777" w:rsidR="00936AF9" w:rsidRDefault="00936AF9" w:rsidP="00936AF9">
      <w:r>
        <w:t xml:space="preserve">The installation procedure should now be complete but further adjustment or alignment may be necessary during commissioning. For most lanterns this will entail rotation of the whole sector light assembly and/or register plate; however, for the Vega VSL-73 sector light, adjustment can be made using the secondary mounting frame. It can be seen from the picture </w:t>
      </w:r>
      <w:r w:rsidRPr="005D47F3">
        <w:t xml:space="preserve">in figure </w:t>
      </w:r>
      <w:r w:rsidR="00103226">
        <w:t>x</w:t>
      </w:r>
      <w:r>
        <w:t xml:space="preserve"> that a graduated scale has been marked on the secondary mounting arrangement to facilitate adjustment. When commissioning is complete, a note or photograph should be taken of the graduated scale setting for commissioning documentation. </w:t>
      </w:r>
    </w:p>
    <w:p w14:paraId="440692F3" w14:textId="77777777" w:rsidR="00936AF9" w:rsidRDefault="00936AF9" w:rsidP="00936AF9">
      <w:pPr>
        <w:keepNext/>
        <w:jc w:val="center"/>
      </w:pPr>
      <w:r>
        <w:rPr>
          <w:noProof/>
          <w:lang w:val="en-US" w:eastAsia="en-US"/>
        </w:rPr>
        <w:lastRenderedPageBreak/>
        <w:drawing>
          <wp:inline distT="0" distB="0" distL="0" distR="0" wp14:anchorId="0C8C417D" wp14:editId="7BB90417">
            <wp:extent cx="3093085" cy="2138680"/>
            <wp:effectExtent l="19050" t="0" r="0" b="0"/>
            <wp:docPr id="21" name="Picture 21" descr="Fi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ig 17"/>
                    <pic:cNvPicPr>
                      <a:picLocks noChangeAspect="1" noChangeArrowheads="1"/>
                    </pic:cNvPicPr>
                  </pic:nvPicPr>
                  <pic:blipFill>
                    <a:blip r:embed="rId28" cstate="print"/>
                    <a:srcRect/>
                    <a:stretch>
                      <a:fillRect/>
                    </a:stretch>
                  </pic:blipFill>
                  <pic:spPr bwMode="auto">
                    <a:xfrm>
                      <a:off x="0" y="0"/>
                      <a:ext cx="3093085" cy="2138680"/>
                    </a:xfrm>
                    <a:prstGeom prst="rect">
                      <a:avLst/>
                    </a:prstGeom>
                    <a:noFill/>
                    <a:ln w="9525">
                      <a:noFill/>
                      <a:miter lim="800000"/>
                      <a:headEnd/>
                      <a:tailEnd/>
                    </a:ln>
                  </pic:spPr>
                </pic:pic>
              </a:graphicData>
            </a:graphic>
          </wp:inline>
        </w:drawing>
      </w:r>
    </w:p>
    <w:p w14:paraId="4B404221" w14:textId="77777777" w:rsidR="00936AF9" w:rsidRDefault="00936AF9" w:rsidP="00936AF9">
      <w:pPr>
        <w:pStyle w:val="Caption"/>
      </w:pPr>
      <w:bookmarkStart w:id="19" w:name="_Toc276714464"/>
      <w:r>
        <w:t xml:space="preserve">Figure </w:t>
      </w:r>
      <w:r w:rsidR="00103226">
        <w:t>x</w:t>
      </w:r>
      <w:r>
        <w:t xml:space="preserve"> Close-up of Vega VSL-73 Mounting on a Register Plate</w:t>
      </w:r>
      <w:bookmarkEnd w:id="19"/>
    </w:p>
    <w:p w14:paraId="7B35BB42" w14:textId="77777777" w:rsidR="00936AF9" w:rsidRDefault="00936AF9" w:rsidP="00936AF9">
      <w:pPr>
        <w:keepNext/>
        <w:jc w:val="center"/>
      </w:pPr>
      <w:r>
        <w:rPr>
          <w:noProof/>
          <w:lang w:val="en-US" w:eastAsia="en-US"/>
        </w:rPr>
        <w:drawing>
          <wp:inline distT="0" distB="0" distL="0" distR="0" wp14:anchorId="03DEE297" wp14:editId="18A774A1">
            <wp:extent cx="3093085" cy="2091055"/>
            <wp:effectExtent l="19050" t="0" r="0" b="0"/>
            <wp:docPr id="22" name="Picture 22" descr="Markings on VSL-73 Adjustment L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arkings on VSL-73 Adjustment Lug"/>
                    <pic:cNvPicPr>
                      <a:picLocks noChangeAspect="1" noChangeArrowheads="1"/>
                    </pic:cNvPicPr>
                  </pic:nvPicPr>
                  <pic:blipFill>
                    <a:blip r:embed="rId29" cstate="print"/>
                    <a:srcRect/>
                    <a:stretch>
                      <a:fillRect/>
                    </a:stretch>
                  </pic:blipFill>
                  <pic:spPr bwMode="auto">
                    <a:xfrm>
                      <a:off x="0" y="0"/>
                      <a:ext cx="3093085" cy="2091055"/>
                    </a:xfrm>
                    <a:prstGeom prst="rect">
                      <a:avLst/>
                    </a:prstGeom>
                    <a:noFill/>
                    <a:ln w="9525">
                      <a:noFill/>
                      <a:miter lim="800000"/>
                      <a:headEnd/>
                      <a:tailEnd/>
                    </a:ln>
                  </pic:spPr>
                </pic:pic>
              </a:graphicData>
            </a:graphic>
          </wp:inline>
        </w:drawing>
      </w:r>
    </w:p>
    <w:p w14:paraId="575DD9EC" w14:textId="77777777" w:rsidR="00936AF9" w:rsidRDefault="00936AF9" w:rsidP="00936AF9">
      <w:pPr>
        <w:pStyle w:val="Caption"/>
      </w:pPr>
      <w:bookmarkStart w:id="20" w:name="_Toc276714465"/>
      <w:r>
        <w:t xml:space="preserve">Figure </w:t>
      </w:r>
      <w:r w:rsidR="00103226">
        <w:t>x</w:t>
      </w:r>
      <w:r>
        <w:t xml:space="preserve"> Graduated Scale marked on the Secondary Mounting Arrangement</w:t>
      </w:r>
      <w:bookmarkEnd w:id="20"/>
    </w:p>
    <w:p w14:paraId="467E11D1" w14:textId="77777777" w:rsidR="00936AF9" w:rsidRDefault="00936AF9" w:rsidP="00936AF9">
      <w:pPr>
        <w:pStyle w:val="Heading3"/>
        <w:tabs>
          <w:tab w:val="clear" w:pos="992"/>
          <w:tab w:val="num" w:pos="720"/>
        </w:tabs>
        <w:spacing w:before="240" w:after="60"/>
        <w:ind w:left="720" w:hanging="720"/>
      </w:pPr>
      <w:r>
        <w:t>Uncertainties in Installation</w:t>
      </w:r>
    </w:p>
    <w:p w14:paraId="6D7E6C05" w14:textId="77777777" w:rsidR="00936AF9" w:rsidRDefault="00936AF9" w:rsidP="00936AF9">
      <w:r>
        <w:t xml:space="preserve">Installation uncertainties will include measurement uncertainties, as described in 4.1.3., because the reference is true North (marked scribed on the lantern perimeter). </w:t>
      </w:r>
    </w:p>
    <w:p w14:paraId="2602E7A4" w14:textId="77777777" w:rsidR="00936AF9" w:rsidRDefault="00936AF9" w:rsidP="00936AF9">
      <w:r>
        <w:t>Typical uncertainties associated with the angular positioning of a sector light are as follows:</w:t>
      </w:r>
    </w:p>
    <w:p w14:paraId="587D40BD" w14:textId="77777777" w:rsidR="00936AF9" w:rsidRDefault="00936AF9" w:rsidP="00936AF9">
      <w:pPr>
        <w:rPr>
          <w:b/>
        </w:rPr>
      </w:pPr>
      <w:proofErr w:type="spellStart"/>
      <w:r>
        <w:rPr>
          <w:b/>
        </w:rPr>
        <w:t>Gunsight</w:t>
      </w:r>
      <w:proofErr w:type="spellEnd"/>
      <w:r>
        <w:rPr>
          <w:b/>
        </w:rPr>
        <w:t xml:space="preserve"> Method</w:t>
      </w:r>
    </w:p>
    <w:p w14:paraId="58297B69" w14:textId="77777777" w:rsidR="00936AF9" w:rsidRDefault="00936AF9" w:rsidP="00936AF9">
      <w:pPr>
        <w:numPr>
          <w:ilvl w:val="0"/>
          <w:numId w:val="47"/>
        </w:numPr>
        <w:spacing w:before="120" w:after="120"/>
      </w:pPr>
      <w:r>
        <w:t xml:space="preserve">Measurement uncertainty from light range – 0.46 degrees (from </w:t>
      </w:r>
      <w:r w:rsidRPr="005D47F3">
        <w:t>4.1.3</w:t>
      </w:r>
      <w:r>
        <w:t>)</w:t>
      </w:r>
    </w:p>
    <w:p w14:paraId="4A704270" w14:textId="77777777" w:rsidR="00936AF9" w:rsidRDefault="00936AF9" w:rsidP="00936AF9">
      <w:pPr>
        <w:numPr>
          <w:ilvl w:val="0"/>
          <w:numId w:val="47"/>
        </w:numPr>
        <w:spacing w:before="120" w:after="120"/>
      </w:pPr>
      <w:r>
        <w:t xml:space="preserve">Concentricity of </w:t>
      </w:r>
      <w:proofErr w:type="spellStart"/>
      <w:r>
        <w:t>gunsight</w:t>
      </w:r>
      <w:proofErr w:type="spellEnd"/>
      <w:r>
        <w:t xml:space="preserve"> to lantern housing – 0.15 degrees (0.5mm in 175mm radius of lantern housing);</w:t>
      </w:r>
    </w:p>
    <w:p w14:paraId="4FB18D9D" w14:textId="77777777" w:rsidR="00936AF9" w:rsidRDefault="00936AF9" w:rsidP="00936AF9">
      <w:pPr>
        <w:numPr>
          <w:ilvl w:val="0"/>
          <w:numId w:val="47"/>
        </w:numPr>
        <w:spacing w:before="120" w:after="120"/>
      </w:pPr>
      <w:r>
        <w:t>Concentricity of light sources to lantern housing – 0.15 degrees (0.5mm in 175mm radius of lantern housing);</w:t>
      </w:r>
    </w:p>
    <w:p w14:paraId="6992B273" w14:textId="77777777" w:rsidR="00936AF9" w:rsidRDefault="00936AF9" w:rsidP="00936AF9">
      <w:pPr>
        <w:numPr>
          <w:ilvl w:val="0"/>
          <w:numId w:val="47"/>
        </w:numPr>
        <w:spacing w:before="120" w:after="120"/>
      </w:pPr>
      <w:r>
        <w:t>Setting accuracy of compass ring – 0.2 degrees;</w:t>
      </w:r>
    </w:p>
    <w:p w14:paraId="3BD4CDA1" w14:textId="77777777" w:rsidR="00936AF9" w:rsidRDefault="00936AF9" w:rsidP="00936AF9">
      <w:pPr>
        <w:numPr>
          <w:ilvl w:val="0"/>
          <w:numId w:val="47"/>
        </w:numPr>
        <w:spacing w:before="120" w:after="120"/>
      </w:pPr>
      <w:r>
        <w:t xml:space="preserve">Setting accuracy of </w:t>
      </w:r>
      <w:proofErr w:type="spellStart"/>
      <w:r>
        <w:t>gunsight</w:t>
      </w:r>
      <w:proofErr w:type="spellEnd"/>
      <w:r>
        <w:t xml:space="preserve"> sight-glass – 0.1 degrees;</w:t>
      </w:r>
    </w:p>
    <w:p w14:paraId="6DE169E2" w14:textId="77777777" w:rsidR="00936AF9" w:rsidRDefault="00936AF9" w:rsidP="00936AF9">
      <w:pPr>
        <w:numPr>
          <w:ilvl w:val="0"/>
          <w:numId w:val="47"/>
        </w:numPr>
        <w:spacing w:before="120" w:after="120"/>
      </w:pPr>
      <w:r>
        <w:t xml:space="preserve">Transit accuracy of </w:t>
      </w:r>
      <w:proofErr w:type="spellStart"/>
      <w:r>
        <w:t>gunsight</w:t>
      </w:r>
      <w:proofErr w:type="spellEnd"/>
      <w:r>
        <w:t xml:space="preserve"> (true to reciprocal bearing) – 0.25 degrees;</w:t>
      </w:r>
    </w:p>
    <w:p w14:paraId="7BA7FF7B" w14:textId="77777777" w:rsidR="00936AF9" w:rsidRDefault="00936AF9" w:rsidP="00936AF9">
      <w:pPr>
        <w:numPr>
          <w:ilvl w:val="0"/>
          <w:numId w:val="47"/>
        </w:numPr>
        <w:spacing w:before="120" w:after="120"/>
      </w:pPr>
      <w:r>
        <w:t>True bearings from the light to conspicuous landmarks on a chart (assuming one metre accuracy for each landmark at 2 kilometres) – 0.05 degrees;</w:t>
      </w:r>
    </w:p>
    <w:p w14:paraId="7700FF9A" w14:textId="77777777" w:rsidR="00936AF9" w:rsidRDefault="00936AF9" w:rsidP="00936AF9">
      <w:pPr>
        <w:numPr>
          <w:ilvl w:val="0"/>
          <w:numId w:val="47"/>
        </w:numPr>
        <w:spacing w:before="120" w:after="120"/>
      </w:pPr>
      <w:r>
        <w:t>Combined uncertainty for installation by root sum of squares (RSS):</w:t>
      </w:r>
    </w:p>
    <w:p w14:paraId="7C5AA2C4" w14:textId="77777777" w:rsidR="00936AF9" w:rsidRDefault="00936AF9" w:rsidP="00936AF9">
      <w:pPr>
        <w:numPr>
          <w:ilvl w:val="1"/>
          <w:numId w:val="47"/>
        </w:numPr>
        <w:spacing w:before="120" w:after="120"/>
      </w:pPr>
      <w:r>
        <w:t xml:space="preserve">initial set up - </w:t>
      </w:r>
      <w:r>
        <w:rPr>
          <w:rFonts w:cs="Arial"/>
        </w:rPr>
        <w:t>√</w:t>
      </w:r>
      <w:r>
        <w:t>(0.46</w:t>
      </w:r>
      <w:r>
        <w:rPr>
          <w:vertAlign w:val="superscript"/>
        </w:rPr>
        <w:t>2</w:t>
      </w:r>
      <w:r>
        <w:t xml:space="preserve"> + 0.15</w:t>
      </w:r>
      <w:r>
        <w:rPr>
          <w:vertAlign w:val="superscript"/>
        </w:rPr>
        <w:t>2</w:t>
      </w:r>
      <w:r>
        <w:t xml:space="preserve"> + 0.15</w:t>
      </w:r>
      <w:r>
        <w:rPr>
          <w:vertAlign w:val="superscript"/>
        </w:rPr>
        <w:t>2</w:t>
      </w:r>
      <w:r>
        <w:t xml:space="preserve"> + 0.2</w:t>
      </w:r>
      <w:r>
        <w:rPr>
          <w:vertAlign w:val="superscript"/>
        </w:rPr>
        <w:t>2</w:t>
      </w:r>
      <w:r>
        <w:t xml:space="preserve"> + 0.1</w:t>
      </w:r>
      <w:r>
        <w:rPr>
          <w:vertAlign w:val="superscript"/>
        </w:rPr>
        <w:t>2</w:t>
      </w:r>
      <w:r>
        <w:t xml:space="preserve"> + 0.25</w:t>
      </w:r>
      <w:r>
        <w:rPr>
          <w:vertAlign w:val="superscript"/>
        </w:rPr>
        <w:t xml:space="preserve">2 </w:t>
      </w:r>
      <w:r>
        <w:t>+ 0.05</w:t>
      </w:r>
      <w:r>
        <w:rPr>
          <w:vertAlign w:val="superscript"/>
        </w:rPr>
        <w:t>2</w:t>
      </w:r>
      <w:r>
        <w:t>) = 0.6 degrees</w:t>
      </w:r>
    </w:p>
    <w:p w14:paraId="3C2321BB" w14:textId="77777777" w:rsidR="00936AF9" w:rsidRDefault="00936AF9" w:rsidP="00936AF9">
      <w:pPr>
        <w:numPr>
          <w:ilvl w:val="1"/>
          <w:numId w:val="47"/>
        </w:numPr>
        <w:spacing w:before="120" w:after="120"/>
      </w:pPr>
      <w:r>
        <w:t xml:space="preserve">checked against sector edge - </w:t>
      </w:r>
      <w:r>
        <w:rPr>
          <w:rFonts w:cs="Arial"/>
        </w:rPr>
        <w:t>√</w:t>
      </w:r>
      <w:r>
        <w:t>(0.15</w:t>
      </w:r>
      <w:r>
        <w:rPr>
          <w:vertAlign w:val="superscript"/>
        </w:rPr>
        <w:t>2</w:t>
      </w:r>
      <w:r>
        <w:t xml:space="preserve"> + 0.15</w:t>
      </w:r>
      <w:r>
        <w:rPr>
          <w:vertAlign w:val="superscript"/>
        </w:rPr>
        <w:t>2</w:t>
      </w:r>
      <w:r>
        <w:t xml:space="preserve"> + 0.2</w:t>
      </w:r>
      <w:r>
        <w:rPr>
          <w:vertAlign w:val="superscript"/>
        </w:rPr>
        <w:t>2</w:t>
      </w:r>
      <w:r>
        <w:t xml:space="preserve"> + 0.1</w:t>
      </w:r>
      <w:r>
        <w:rPr>
          <w:vertAlign w:val="superscript"/>
        </w:rPr>
        <w:t xml:space="preserve">2 </w:t>
      </w:r>
      <w:r>
        <w:t>+ 0.05</w:t>
      </w:r>
      <w:r>
        <w:rPr>
          <w:vertAlign w:val="superscript"/>
        </w:rPr>
        <w:t>2</w:t>
      </w:r>
      <w:r>
        <w:t>) = 0.3 degrees</w:t>
      </w:r>
    </w:p>
    <w:p w14:paraId="2AD1C566" w14:textId="77777777" w:rsidR="00936AF9" w:rsidRDefault="00936AF9" w:rsidP="00936AF9">
      <w:pPr>
        <w:rPr>
          <w:b/>
        </w:rPr>
      </w:pPr>
      <w:r>
        <w:rPr>
          <w:b/>
        </w:rPr>
        <w:t>Register Plate Method</w:t>
      </w:r>
    </w:p>
    <w:p w14:paraId="4C8E91F3" w14:textId="77777777" w:rsidR="00936AF9" w:rsidRDefault="00936AF9" w:rsidP="00936AF9">
      <w:pPr>
        <w:numPr>
          <w:ilvl w:val="0"/>
          <w:numId w:val="47"/>
        </w:numPr>
        <w:spacing w:before="120" w:after="120"/>
      </w:pPr>
      <w:r>
        <w:lastRenderedPageBreak/>
        <w:t xml:space="preserve">Measurement uncertainty from light range – 0.46 degrees (from </w:t>
      </w:r>
      <w:r w:rsidRPr="005D47F3">
        <w:t>4.1.3</w:t>
      </w:r>
      <w:r>
        <w:t>)</w:t>
      </w:r>
    </w:p>
    <w:p w14:paraId="14820473" w14:textId="77777777" w:rsidR="00936AF9" w:rsidRDefault="00936AF9" w:rsidP="00936AF9">
      <w:pPr>
        <w:numPr>
          <w:ilvl w:val="0"/>
          <w:numId w:val="47"/>
        </w:numPr>
        <w:spacing w:before="120" w:after="120"/>
      </w:pPr>
      <w:r>
        <w:t>Concentricity of register plate to lantern housing – 0.2 degrees (0.5mm in 120mm radius of lantern base);</w:t>
      </w:r>
    </w:p>
    <w:p w14:paraId="5AF17C34" w14:textId="77777777" w:rsidR="00936AF9" w:rsidRDefault="00936AF9" w:rsidP="00936AF9">
      <w:pPr>
        <w:numPr>
          <w:ilvl w:val="0"/>
          <w:numId w:val="47"/>
        </w:numPr>
        <w:spacing w:before="120" w:after="120"/>
      </w:pPr>
      <w:r>
        <w:t>Concentricity of light sources to lantern housing – 0.15 degrees (0.5mm in 175mm radius of lantern housing);</w:t>
      </w:r>
    </w:p>
    <w:p w14:paraId="7D36BB37" w14:textId="77777777" w:rsidR="00936AF9" w:rsidRDefault="00936AF9" w:rsidP="00936AF9">
      <w:pPr>
        <w:numPr>
          <w:ilvl w:val="0"/>
          <w:numId w:val="47"/>
        </w:numPr>
        <w:spacing w:before="120" w:after="120"/>
      </w:pPr>
      <w:r>
        <w:t>Alignment accuracy of register plate with landmark – 0.75 degrees;</w:t>
      </w:r>
    </w:p>
    <w:p w14:paraId="37B93580" w14:textId="77777777" w:rsidR="00936AF9" w:rsidRDefault="00936AF9" w:rsidP="00936AF9">
      <w:pPr>
        <w:numPr>
          <w:ilvl w:val="0"/>
          <w:numId w:val="47"/>
        </w:numPr>
        <w:spacing w:before="120" w:after="120"/>
      </w:pPr>
      <w:r>
        <w:t>Alignment accuracy of sector light assembly with register plate – 0.2 degrees (0.5mm in 120mm radius of lantern base);</w:t>
      </w:r>
    </w:p>
    <w:p w14:paraId="5746478A" w14:textId="77777777" w:rsidR="00936AF9" w:rsidRDefault="00936AF9" w:rsidP="00936AF9">
      <w:pPr>
        <w:numPr>
          <w:ilvl w:val="0"/>
          <w:numId w:val="47"/>
        </w:numPr>
        <w:spacing w:before="120" w:after="120"/>
      </w:pPr>
      <w:r>
        <w:t>True bearings from the light to conspicuous landmarks on a chart (assuming one metre accuracy for each landmark at 2 kilometres) – 0.05 degrees;</w:t>
      </w:r>
    </w:p>
    <w:p w14:paraId="3E336362" w14:textId="77777777" w:rsidR="00936AF9" w:rsidRDefault="00936AF9" w:rsidP="00936AF9">
      <w:pPr>
        <w:numPr>
          <w:ilvl w:val="0"/>
          <w:numId w:val="47"/>
        </w:numPr>
        <w:spacing w:before="120" w:after="120"/>
      </w:pPr>
      <w:r>
        <w:t>Combined uncertainty for installation by root sum of squares (RSS):</w:t>
      </w:r>
    </w:p>
    <w:p w14:paraId="54786FCE" w14:textId="77777777" w:rsidR="00936AF9" w:rsidRDefault="00936AF9" w:rsidP="00936AF9">
      <w:pPr>
        <w:ind w:firstLine="720"/>
      </w:pPr>
      <w:r>
        <w:t xml:space="preserve"> </w:t>
      </w:r>
      <w:proofErr w:type="gramStart"/>
      <w:r>
        <w:rPr>
          <w:rFonts w:cs="Arial"/>
        </w:rPr>
        <w:t>√(</w:t>
      </w:r>
      <w:proofErr w:type="gramEnd"/>
      <w:r>
        <w:rPr>
          <w:rFonts w:cs="Arial"/>
        </w:rPr>
        <w:t>0.46</w:t>
      </w:r>
      <w:r>
        <w:rPr>
          <w:rFonts w:cs="Arial"/>
          <w:vertAlign w:val="superscript"/>
        </w:rPr>
        <w:t>2</w:t>
      </w:r>
      <w:r>
        <w:rPr>
          <w:rFonts w:cs="Arial"/>
        </w:rPr>
        <w:t xml:space="preserve"> + 0.2</w:t>
      </w:r>
      <w:r>
        <w:rPr>
          <w:rFonts w:cs="Arial"/>
          <w:vertAlign w:val="superscript"/>
        </w:rPr>
        <w:t>2</w:t>
      </w:r>
      <w:r>
        <w:rPr>
          <w:rFonts w:cs="Arial"/>
        </w:rPr>
        <w:t xml:space="preserve"> + 0.15</w:t>
      </w:r>
      <w:r>
        <w:rPr>
          <w:rFonts w:cs="Arial"/>
          <w:vertAlign w:val="superscript"/>
        </w:rPr>
        <w:t>2</w:t>
      </w:r>
      <w:r>
        <w:rPr>
          <w:rFonts w:cs="Arial"/>
        </w:rPr>
        <w:t xml:space="preserve"> + 0.75</w:t>
      </w:r>
      <w:r>
        <w:rPr>
          <w:rFonts w:cs="Arial"/>
          <w:vertAlign w:val="superscript"/>
        </w:rPr>
        <w:t>2</w:t>
      </w:r>
      <w:r>
        <w:rPr>
          <w:rFonts w:cs="Arial"/>
        </w:rPr>
        <w:t xml:space="preserve"> + 0.2</w:t>
      </w:r>
      <w:r>
        <w:rPr>
          <w:rFonts w:cs="Arial"/>
          <w:vertAlign w:val="superscript"/>
        </w:rPr>
        <w:t>2</w:t>
      </w:r>
      <w:r>
        <w:rPr>
          <w:rFonts w:cs="Arial"/>
        </w:rPr>
        <w:t xml:space="preserve"> + 0.05</w:t>
      </w:r>
      <w:r>
        <w:rPr>
          <w:rFonts w:cs="Arial"/>
          <w:vertAlign w:val="superscript"/>
        </w:rPr>
        <w:t>2</w:t>
      </w:r>
      <w:r>
        <w:rPr>
          <w:rFonts w:cs="Arial"/>
        </w:rPr>
        <w:t>) = 0.9 degrees</w:t>
      </w:r>
    </w:p>
    <w:p w14:paraId="2B661D6F" w14:textId="77777777" w:rsidR="00936AF9" w:rsidRDefault="00936AF9" w:rsidP="00936AF9">
      <w:pPr>
        <w:pStyle w:val="Heading2"/>
        <w:keepNext/>
        <w:tabs>
          <w:tab w:val="clear" w:pos="851"/>
          <w:tab w:val="num" w:pos="576"/>
        </w:tabs>
        <w:spacing w:before="240" w:after="60"/>
        <w:ind w:left="576" w:hanging="576"/>
      </w:pPr>
      <w:bookmarkStart w:id="21" w:name="_Toc276714440"/>
      <w:r>
        <w:t>Commissioning</w:t>
      </w:r>
      <w:bookmarkEnd w:id="21"/>
    </w:p>
    <w:p w14:paraId="0783FEDF" w14:textId="77777777" w:rsidR="00936AF9" w:rsidRDefault="00936AF9" w:rsidP="00936AF9">
      <w:r>
        <w:t xml:space="preserve">Final commissioning of the sector light should be carried out by a vessel. The task is to sail round all sectors and sector boundaries to ensure that the light complies with the navigational requirement. This requires the mariner to carefully observe the change in colour of the light at each sector boundary and recognition of colour change may best be achieved if a fixed light is exhibited for the duration of the commissioning procedure. </w:t>
      </w:r>
    </w:p>
    <w:p w14:paraId="6DD578CA" w14:textId="77777777" w:rsidR="00936AF9" w:rsidRDefault="00936AF9" w:rsidP="00936AF9">
      <w:r>
        <w:t>Some vessels are equipped with a dynamic positioning (DP) system which has an ‘anchor point’ facility. This enables the bow of the vessel to point directly at a set position. For sector light alignment, the ‘anchor point’ should be set to the position of the light being commissioned. The vessel can then be moved from side to side through a sector boundary with an angular resolution of 0.1 degrees relative to the position of the light.</w:t>
      </w:r>
    </w:p>
    <w:p w14:paraId="3187DE09" w14:textId="77777777" w:rsidR="00936AF9" w:rsidRDefault="00936AF9" w:rsidP="00936AF9">
      <w:pPr>
        <w:keepNext/>
        <w:jc w:val="center"/>
      </w:pPr>
      <w:r>
        <w:rPr>
          <w:noProof/>
          <w:lang w:val="en-US" w:eastAsia="en-US"/>
        </w:rPr>
        <w:drawing>
          <wp:inline distT="0" distB="0" distL="0" distR="0" wp14:anchorId="6B31F9AF" wp14:editId="7744AD6D">
            <wp:extent cx="2138680" cy="2846705"/>
            <wp:effectExtent l="19050" t="0" r="0" b="0"/>
            <wp:docPr id="23" name="Picture 23" descr="Anchor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nchor Point"/>
                    <pic:cNvPicPr>
                      <a:picLocks noChangeAspect="1" noChangeArrowheads="1"/>
                    </pic:cNvPicPr>
                  </pic:nvPicPr>
                  <pic:blipFill>
                    <a:blip r:embed="rId30" cstate="print"/>
                    <a:srcRect/>
                    <a:stretch>
                      <a:fillRect/>
                    </a:stretch>
                  </pic:blipFill>
                  <pic:spPr bwMode="auto">
                    <a:xfrm>
                      <a:off x="0" y="0"/>
                      <a:ext cx="2138680" cy="2846705"/>
                    </a:xfrm>
                    <a:prstGeom prst="rect">
                      <a:avLst/>
                    </a:prstGeom>
                    <a:noFill/>
                    <a:ln w="9525">
                      <a:noFill/>
                      <a:miter lim="800000"/>
                      <a:headEnd/>
                      <a:tailEnd/>
                    </a:ln>
                  </pic:spPr>
                </pic:pic>
              </a:graphicData>
            </a:graphic>
          </wp:inline>
        </w:drawing>
      </w:r>
    </w:p>
    <w:p w14:paraId="445DD477" w14:textId="77777777" w:rsidR="00936AF9" w:rsidRDefault="00936AF9" w:rsidP="00936AF9">
      <w:pPr>
        <w:pStyle w:val="Caption"/>
      </w:pPr>
      <w:bookmarkStart w:id="22" w:name="_Toc276714466"/>
      <w:r>
        <w:t xml:space="preserve">Figure </w:t>
      </w:r>
      <w:r w:rsidR="00103226">
        <w:t>x</w:t>
      </w:r>
      <w:r>
        <w:t xml:space="preserve"> Screenshot of the Dynamic Positioning (DP) system showing the Anchor Point facility</w:t>
      </w:r>
      <w:bookmarkEnd w:id="22"/>
    </w:p>
    <w:p w14:paraId="5EACA0DC" w14:textId="77777777" w:rsidR="00936AF9" w:rsidRDefault="00936AF9" w:rsidP="00936AF9">
      <w:r>
        <w:t>At each sector boundary, the commissioning officer should take a bearing of the light from the ship and record it. The bearing may be taken by the use of the ship's compass or, perhaps more accurately, by plotting the DGPS positions of the light and the ship on an electronic chart, thereby determining the bearing.</w:t>
      </w:r>
    </w:p>
    <w:p w14:paraId="1FA40AA4" w14:textId="77777777" w:rsidR="00936AF9" w:rsidRDefault="00936AF9" w:rsidP="00936AF9">
      <w:r>
        <w:t xml:space="preserve">Each sector boundary should be transited in one direction, then the other. For sector boundaries with a narrow angle of uncertainty, a mean should be taken of both recorded sector bearings. If the recorded bearings for a sector differ by more than 0.5 degrees, a further two bearings should be taken, first in one direction, then the other. The mean of four readings should then be taken. </w:t>
      </w:r>
    </w:p>
    <w:p w14:paraId="7338EC93" w14:textId="77777777" w:rsidR="00936AF9" w:rsidRDefault="00936AF9" w:rsidP="00936AF9">
      <w:r>
        <w:lastRenderedPageBreak/>
        <w:t xml:space="preserve">For sector boundaries with a wide angle of uncertainty, the bearing at which the change in colour is perceived in one direction may be significantly different to that in the other direction. In this case, each direction should be treated separately and a mean of several recorded bearings for each direction taken. This will result in two mean values, the mean of which can be taken as the sector boundary bearing and the difference of which can be taken as the angle of uncertainty of the sector boundary. </w:t>
      </w:r>
    </w:p>
    <w:p w14:paraId="69D8A9AD" w14:textId="77777777" w:rsidR="00936AF9" w:rsidRDefault="00936AF9" w:rsidP="00936AF9">
      <w:r>
        <w:t xml:space="preserve">For example, in one direction the change of colour from red to pink may be recorded three times and the mean taken. In the other direction, the change of colour from white to pink may be recorded three times and the mean taken. The mean of these two means would be the sector boundary bearing. The difference between the two means would be the sector boundary angle of uncertainty. </w:t>
      </w:r>
    </w:p>
    <w:p w14:paraId="37F24FCE" w14:textId="77777777" w:rsidR="00936AF9" w:rsidRDefault="00936AF9" w:rsidP="00936AF9">
      <w:r>
        <w:t>Each mean sector boundary bearing should be compared with the published data for that station and reported accordingly.</w:t>
      </w:r>
    </w:p>
    <w:p w14:paraId="65EC5246" w14:textId="77777777" w:rsidR="00936AF9" w:rsidRDefault="00936AF9" w:rsidP="00936AF9">
      <w:r>
        <w:t xml:space="preserve">It should be borne in mind that on most stand-alone sector lights there is no readily available means of adjusting a sector boundary. Therefore, if there is a significant departure from the published bearing, either the whole beacon has to be turned, which will affect all other sector boundary bearings, or the equipment will have to be returned to shore to be adjusted on a light measuring range. If necessary, the whole light assembly can be rotated to seek an all round compromise between the errors at all sector boundary bearings. </w:t>
      </w:r>
    </w:p>
    <w:p w14:paraId="361D295D" w14:textId="77777777" w:rsidR="00936AF9" w:rsidRDefault="00936AF9" w:rsidP="00936AF9">
      <w:pPr>
        <w:pStyle w:val="Heading3"/>
        <w:tabs>
          <w:tab w:val="clear" w:pos="992"/>
          <w:tab w:val="num" w:pos="720"/>
        </w:tabs>
        <w:spacing w:before="240" w:after="60"/>
        <w:ind w:left="720" w:hanging="720"/>
      </w:pPr>
      <w:r>
        <w:t>Uncertainties in Commissioning</w:t>
      </w:r>
    </w:p>
    <w:p w14:paraId="17C897C6" w14:textId="77777777" w:rsidR="00936AF9" w:rsidRDefault="00936AF9" w:rsidP="00936AF9">
      <w:r>
        <w:t>The uncertainties for the process of commissioning are perceived as follows:</w:t>
      </w:r>
    </w:p>
    <w:p w14:paraId="0573493F" w14:textId="77777777" w:rsidR="00936AF9" w:rsidRDefault="00936AF9" w:rsidP="00936AF9">
      <w:pPr>
        <w:numPr>
          <w:ilvl w:val="0"/>
          <w:numId w:val="48"/>
        </w:numPr>
        <w:spacing w:before="120" w:after="120"/>
      </w:pPr>
      <w:r>
        <w:t xml:space="preserve">Sector light "angle of uncertainty" </w:t>
      </w:r>
      <w:r w:rsidRPr="005D47F3">
        <w:t>[2]</w:t>
      </w:r>
      <w:r>
        <w:t xml:space="preserve"> – this is the angle over which the colour of the light is indeterminate (e.g. neither white nor red but somewhere in between). Each sector light and even each sector boundary of that light may give a different angle of uncertainty. The uncertainty contribution should be taken from the measurement results for that particular light and that particular boundary (</w:t>
      </w:r>
      <w:r w:rsidRPr="005D47F3">
        <w:t>see 4.1.2);</w:t>
      </w:r>
    </w:p>
    <w:p w14:paraId="32CD9FD9" w14:textId="77777777" w:rsidR="00936AF9" w:rsidRDefault="00936AF9" w:rsidP="00936AF9">
      <w:pPr>
        <w:numPr>
          <w:ilvl w:val="0"/>
          <w:numId w:val="48"/>
        </w:numPr>
        <w:spacing w:before="120" w:after="120"/>
      </w:pPr>
      <w:r>
        <w:t>Visual observation of the sector boundary from two or more readings – for a sector boundary with a sharp cut between colours, this should be taken as the 'standard error' of all the readings for that boundary. The standard error can be calculated by taking the root sum of squares of all readings minus the mean, then dividing by the square root of the number of readings minus one. The uncertainty can be taken to equal the ‘standard error’.</w:t>
      </w:r>
    </w:p>
    <w:p w14:paraId="157A16E2" w14:textId="77777777" w:rsidR="00936AF9" w:rsidRDefault="00936AF9" w:rsidP="00936AF9">
      <w:pPr>
        <w:jc w:val="center"/>
      </w:pPr>
      <w:r>
        <w:rPr>
          <w:position w:val="-28"/>
        </w:rPr>
        <w:object w:dxaOrig="8540" w:dyaOrig="760" w14:anchorId="20BE1C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7pt;height:38.5pt" o:ole="">
            <v:imagedata r:id="rId31" o:title=""/>
          </v:shape>
          <o:OLEObject Type="Embed" ProgID="Equation.3" ShapeID="_x0000_i1025" DrawAspect="Content" ObjectID="_1269077206" r:id="rId32"/>
        </w:object>
      </w:r>
    </w:p>
    <w:p w14:paraId="07CCA7C8" w14:textId="77777777" w:rsidR="00936AF9" w:rsidRDefault="00936AF9" w:rsidP="00936AF9">
      <w:r>
        <w:t>Example: four recorded bearings 180, 180.2, 180.4, 179.8 – Mean = 180.1</w:t>
      </w:r>
    </w:p>
    <w:p w14:paraId="514D68AA" w14:textId="77777777" w:rsidR="00936AF9" w:rsidRDefault="00936AF9" w:rsidP="00936AF9">
      <w:pPr>
        <w:jc w:val="center"/>
      </w:pPr>
      <w:r>
        <w:rPr>
          <w:position w:val="-28"/>
        </w:rPr>
        <w:object w:dxaOrig="8460" w:dyaOrig="760" w14:anchorId="38532009">
          <v:shape id="_x0000_i1026" type="#_x0000_t75" style="width:413.6pt;height:36.85pt" o:ole="">
            <v:imagedata r:id="rId33" o:title=""/>
          </v:shape>
          <o:OLEObject Type="Embed" ProgID="Equation.3" ShapeID="_x0000_i1026" DrawAspect="Content" ObjectID="_1269077207" r:id="rId34"/>
        </w:object>
      </w:r>
    </w:p>
    <w:p w14:paraId="21B526C3" w14:textId="77777777" w:rsidR="00936AF9" w:rsidRDefault="00936AF9" w:rsidP="00936AF9">
      <w:pPr>
        <w:jc w:val="center"/>
      </w:pPr>
      <w:r>
        <w:rPr>
          <w:position w:val="-24"/>
        </w:rPr>
        <w:object w:dxaOrig="4860" w:dyaOrig="720" w14:anchorId="6800C399">
          <v:shape id="_x0000_i1027" type="#_x0000_t75" style="width:237.75pt;height:35.15pt" o:ole="">
            <v:imagedata r:id="rId35" o:title=""/>
          </v:shape>
          <o:OLEObject Type="Embed" ProgID="Equation.3" ShapeID="_x0000_i1027" DrawAspect="Content" ObjectID="_1269077208" r:id="rId36"/>
        </w:object>
      </w:r>
    </w:p>
    <w:p w14:paraId="3D9CDAFC" w14:textId="77777777" w:rsidR="00936AF9" w:rsidRDefault="00936AF9" w:rsidP="00936AF9">
      <w:pPr>
        <w:rPr>
          <w:rFonts w:cs="Arial"/>
        </w:rPr>
      </w:pPr>
      <w:r>
        <w:rPr>
          <w:rFonts w:cs="Arial"/>
        </w:rPr>
        <w:tab/>
      </w:r>
      <w:r>
        <w:rPr>
          <w:rFonts w:cs="Arial"/>
        </w:rPr>
        <w:tab/>
        <w:t xml:space="preserve">= </w:t>
      </w:r>
      <w:proofErr w:type="gramStart"/>
      <w:r>
        <w:rPr>
          <w:rFonts w:cs="Arial"/>
        </w:rPr>
        <w:t>√{</w:t>
      </w:r>
      <w:proofErr w:type="gramEnd"/>
      <w:r>
        <w:rPr>
          <w:rFonts w:cs="Arial"/>
        </w:rPr>
        <w:t>(0.01 +0.01 + 0.09 + 0.09)/3}/2</w:t>
      </w:r>
    </w:p>
    <w:p w14:paraId="4589CEB6" w14:textId="77777777" w:rsidR="00936AF9" w:rsidRDefault="00936AF9" w:rsidP="00936AF9">
      <w:pPr>
        <w:rPr>
          <w:rFonts w:cs="Arial"/>
          <w:b/>
          <w:bCs/>
          <w:u w:val="single"/>
        </w:rPr>
      </w:pPr>
      <w:r>
        <w:rPr>
          <w:rFonts w:cs="Arial"/>
        </w:rPr>
        <w:tab/>
      </w:r>
      <w:r>
        <w:rPr>
          <w:rFonts w:cs="Arial"/>
        </w:rPr>
        <w:tab/>
        <w:t xml:space="preserve">= </w:t>
      </w:r>
      <w:proofErr w:type="gramStart"/>
      <w:r>
        <w:rPr>
          <w:rFonts w:cs="Arial"/>
        </w:rPr>
        <w:t>√(</w:t>
      </w:r>
      <w:proofErr w:type="gramEnd"/>
      <w:r>
        <w:rPr>
          <w:rFonts w:cs="Arial"/>
        </w:rPr>
        <w:t xml:space="preserve">0.2/3)/2   = 0.26/2   </w:t>
      </w:r>
      <w:r>
        <w:rPr>
          <w:rFonts w:cs="Arial"/>
          <w:b/>
          <w:bCs/>
        </w:rPr>
        <w:t xml:space="preserve">= </w:t>
      </w:r>
      <w:r>
        <w:rPr>
          <w:rFonts w:cs="Arial"/>
          <w:b/>
          <w:bCs/>
          <w:u w:val="single"/>
        </w:rPr>
        <w:t>0.13</w:t>
      </w:r>
    </w:p>
    <w:p w14:paraId="52CBFBCD" w14:textId="77777777" w:rsidR="00936AF9" w:rsidRDefault="00936AF9" w:rsidP="00936AF9">
      <w:pPr>
        <w:rPr>
          <w:rFonts w:cs="Arial"/>
          <w:b/>
          <w:bCs/>
          <w:u w:val="single"/>
        </w:rPr>
      </w:pPr>
    </w:p>
    <w:p w14:paraId="7687BF96" w14:textId="77777777" w:rsidR="00936AF9" w:rsidRDefault="00936AF9" w:rsidP="00936AF9">
      <w:r>
        <w:t>For a sector boundary with a large angle of indecision, the ‘standard error’ needs to be calculated for two sets of readings and the greater of the two taken as the uncertainty.</w:t>
      </w:r>
    </w:p>
    <w:p w14:paraId="50CDCEB5" w14:textId="77777777" w:rsidR="00936AF9" w:rsidRDefault="00936AF9" w:rsidP="00936AF9">
      <w:r>
        <w:t>Typical uncertainties associated with the commissioning of a sector light are as follows:</w:t>
      </w:r>
    </w:p>
    <w:p w14:paraId="027FE148" w14:textId="77777777" w:rsidR="00936AF9" w:rsidRDefault="00936AF9" w:rsidP="00936AF9">
      <w:pPr>
        <w:numPr>
          <w:ilvl w:val="0"/>
          <w:numId w:val="48"/>
        </w:numPr>
        <w:spacing w:before="120" w:after="120"/>
      </w:pPr>
      <w:r>
        <w:t>Taking a bearing by ship's compass – 0.25 degrees</w:t>
      </w:r>
    </w:p>
    <w:p w14:paraId="7EF22D5E" w14:textId="77777777" w:rsidR="00936AF9" w:rsidRDefault="00936AF9" w:rsidP="00936AF9">
      <w:pPr>
        <w:numPr>
          <w:ilvl w:val="0"/>
          <w:numId w:val="48"/>
        </w:numPr>
        <w:spacing w:before="120" w:after="120"/>
      </w:pPr>
      <w:r>
        <w:t xml:space="preserve">Taking a bearing by satellite navigation (DGNSS) and electronic chart – </w:t>
      </w:r>
    </w:p>
    <w:p w14:paraId="2BC3616B" w14:textId="77777777" w:rsidR="00936AF9" w:rsidRDefault="00936AF9" w:rsidP="00936AF9">
      <w:pPr>
        <w:numPr>
          <w:ilvl w:val="1"/>
          <w:numId w:val="48"/>
        </w:numPr>
        <w:spacing w:before="120" w:after="120"/>
      </w:pPr>
      <w:r>
        <w:t>Positional error of lighthouse at the distance observed (say 5m at 2000m) – 0.15 degrees;</w:t>
      </w:r>
    </w:p>
    <w:p w14:paraId="017D106E" w14:textId="77777777" w:rsidR="00936AF9" w:rsidRDefault="00936AF9" w:rsidP="00936AF9">
      <w:pPr>
        <w:numPr>
          <w:ilvl w:val="1"/>
          <w:numId w:val="48"/>
        </w:numPr>
        <w:spacing w:before="120" w:after="120"/>
      </w:pPr>
      <w:r>
        <w:t>Positional error of ship at the distance observed (same as above) – 0.15 degrees</w:t>
      </w:r>
    </w:p>
    <w:p w14:paraId="35EBF52C" w14:textId="77777777" w:rsidR="00936AF9" w:rsidRDefault="00936AF9" w:rsidP="00936AF9">
      <w:r>
        <w:lastRenderedPageBreak/>
        <w:t>Typical examples of combined uncertainty for installation by root sum of squares (RSS):</w:t>
      </w:r>
    </w:p>
    <w:p w14:paraId="38296F14" w14:textId="77777777" w:rsidR="00936AF9" w:rsidRDefault="00936AF9" w:rsidP="00936AF9">
      <w:pPr>
        <w:numPr>
          <w:ilvl w:val="0"/>
          <w:numId w:val="48"/>
        </w:numPr>
        <w:spacing w:before="120" w:after="120"/>
      </w:pPr>
      <w:r>
        <w:t xml:space="preserve">By compass – </w:t>
      </w:r>
    </w:p>
    <w:tbl>
      <w:tblPr>
        <w:tblW w:w="0" w:type="auto"/>
        <w:tblLook w:val="01E0" w:firstRow="1" w:lastRow="1" w:firstColumn="1" w:lastColumn="1" w:noHBand="0" w:noVBand="0"/>
      </w:tblPr>
      <w:tblGrid>
        <w:gridCol w:w="4621"/>
        <w:gridCol w:w="4621"/>
      </w:tblGrid>
      <w:tr w:rsidR="00936AF9" w14:paraId="1BC7F0DB" w14:textId="77777777" w:rsidTr="00936AF9">
        <w:tc>
          <w:tcPr>
            <w:tcW w:w="4621" w:type="dxa"/>
          </w:tcPr>
          <w:p w14:paraId="28972C42" w14:textId="77777777" w:rsidR="00936AF9" w:rsidRDefault="00936AF9" w:rsidP="00936AF9">
            <w:r>
              <w:t>Measured angle of uncertainty of boundary</w:t>
            </w:r>
          </w:p>
        </w:tc>
        <w:tc>
          <w:tcPr>
            <w:tcW w:w="4621" w:type="dxa"/>
          </w:tcPr>
          <w:p w14:paraId="4A899939" w14:textId="77777777" w:rsidR="00936AF9" w:rsidRDefault="00936AF9" w:rsidP="00936AF9">
            <w:r>
              <w:t>0.25</w:t>
            </w:r>
          </w:p>
        </w:tc>
      </w:tr>
      <w:tr w:rsidR="00936AF9" w14:paraId="5BDA23D0" w14:textId="77777777" w:rsidTr="00936AF9">
        <w:tc>
          <w:tcPr>
            <w:tcW w:w="4621" w:type="dxa"/>
          </w:tcPr>
          <w:p w14:paraId="606FD088" w14:textId="77777777" w:rsidR="00936AF9" w:rsidRDefault="00936AF9" w:rsidP="00936AF9">
            <w:r>
              <w:t>Uncertainty at edge of angle of uncertainty</w:t>
            </w:r>
          </w:p>
        </w:tc>
        <w:tc>
          <w:tcPr>
            <w:tcW w:w="4621" w:type="dxa"/>
          </w:tcPr>
          <w:p w14:paraId="3C9FDC7B" w14:textId="77777777" w:rsidR="00936AF9" w:rsidRDefault="00936AF9" w:rsidP="00936AF9">
            <w:r>
              <w:t>0.13</w:t>
            </w:r>
          </w:p>
        </w:tc>
      </w:tr>
      <w:tr w:rsidR="00936AF9" w14:paraId="4D711500" w14:textId="77777777" w:rsidTr="00936AF9">
        <w:tc>
          <w:tcPr>
            <w:tcW w:w="4621" w:type="dxa"/>
          </w:tcPr>
          <w:p w14:paraId="5A9CC731" w14:textId="77777777" w:rsidR="00936AF9" w:rsidRDefault="00936AF9" w:rsidP="00936AF9">
            <w:r>
              <w:t>Compass bearing uncertainty</w:t>
            </w:r>
          </w:p>
        </w:tc>
        <w:tc>
          <w:tcPr>
            <w:tcW w:w="4621" w:type="dxa"/>
          </w:tcPr>
          <w:p w14:paraId="4B927A77" w14:textId="77777777" w:rsidR="00936AF9" w:rsidRDefault="00936AF9" w:rsidP="00936AF9">
            <w:r>
              <w:t>0.25</w:t>
            </w:r>
          </w:p>
        </w:tc>
      </w:tr>
    </w:tbl>
    <w:p w14:paraId="063F7ED0" w14:textId="77777777" w:rsidR="00936AF9" w:rsidRDefault="00936AF9" w:rsidP="00936AF9">
      <w:pPr>
        <w:ind w:left="720"/>
      </w:pPr>
    </w:p>
    <w:p w14:paraId="4CF0B4EC" w14:textId="77777777" w:rsidR="00936AF9" w:rsidRDefault="00936AF9" w:rsidP="00936AF9">
      <w:pPr>
        <w:ind w:left="720" w:firstLine="360"/>
      </w:pPr>
      <w:r>
        <w:rPr>
          <w:rFonts w:cs="Arial"/>
        </w:rPr>
        <w:t xml:space="preserve">Combined uncertainty = </w:t>
      </w:r>
      <w:proofErr w:type="gramStart"/>
      <w:r>
        <w:rPr>
          <w:rFonts w:cs="Arial"/>
        </w:rPr>
        <w:t>√</w:t>
      </w:r>
      <w:r>
        <w:t>(</w:t>
      </w:r>
      <w:proofErr w:type="gramEnd"/>
      <w:r>
        <w:t>0.25</w:t>
      </w:r>
      <w:r>
        <w:rPr>
          <w:vertAlign w:val="superscript"/>
        </w:rPr>
        <w:t>2</w:t>
      </w:r>
      <w:r>
        <w:t xml:space="preserve"> + 0.13</w:t>
      </w:r>
      <w:r>
        <w:rPr>
          <w:vertAlign w:val="superscript"/>
        </w:rPr>
        <w:t>2</w:t>
      </w:r>
      <w:r>
        <w:t xml:space="preserve"> + 0.25</w:t>
      </w:r>
      <w:r>
        <w:rPr>
          <w:vertAlign w:val="superscript"/>
        </w:rPr>
        <w:t>2</w:t>
      </w:r>
      <w:r>
        <w:t>) = 0.38 degrees</w:t>
      </w:r>
    </w:p>
    <w:p w14:paraId="4959A6E3" w14:textId="77777777" w:rsidR="00936AF9" w:rsidRDefault="00936AF9" w:rsidP="00936AF9">
      <w:pPr>
        <w:numPr>
          <w:ilvl w:val="0"/>
          <w:numId w:val="48"/>
        </w:numPr>
        <w:spacing w:before="120" w:after="120"/>
      </w:pPr>
      <w:r>
        <w:t xml:space="preserve">By DGNSS – </w:t>
      </w:r>
    </w:p>
    <w:tbl>
      <w:tblPr>
        <w:tblW w:w="0" w:type="auto"/>
        <w:tblLook w:val="01E0" w:firstRow="1" w:lastRow="1" w:firstColumn="1" w:lastColumn="1" w:noHBand="0" w:noVBand="0"/>
      </w:tblPr>
      <w:tblGrid>
        <w:gridCol w:w="4621"/>
        <w:gridCol w:w="4621"/>
      </w:tblGrid>
      <w:tr w:rsidR="00936AF9" w14:paraId="56A46C17" w14:textId="77777777" w:rsidTr="00936AF9">
        <w:tc>
          <w:tcPr>
            <w:tcW w:w="4621" w:type="dxa"/>
          </w:tcPr>
          <w:p w14:paraId="0F64348D" w14:textId="77777777" w:rsidR="00936AF9" w:rsidRDefault="00936AF9" w:rsidP="00936AF9">
            <w:r>
              <w:t>Measured angle of uncertainty of boundary</w:t>
            </w:r>
          </w:p>
        </w:tc>
        <w:tc>
          <w:tcPr>
            <w:tcW w:w="4621" w:type="dxa"/>
          </w:tcPr>
          <w:p w14:paraId="1240AFC9" w14:textId="77777777" w:rsidR="00936AF9" w:rsidRDefault="00936AF9" w:rsidP="00936AF9">
            <w:r>
              <w:t>0.25</w:t>
            </w:r>
          </w:p>
        </w:tc>
      </w:tr>
      <w:tr w:rsidR="00936AF9" w14:paraId="34970100" w14:textId="77777777" w:rsidTr="00936AF9">
        <w:tc>
          <w:tcPr>
            <w:tcW w:w="4621" w:type="dxa"/>
          </w:tcPr>
          <w:p w14:paraId="7CD37F6D" w14:textId="77777777" w:rsidR="00936AF9" w:rsidRDefault="00936AF9" w:rsidP="00936AF9">
            <w:r>
              <w:t>Uncertainty at edge of angle of uncertainty</w:t>
            </w:r>
          </w:p>
        </w:tc>
        <w:tc>
          <w:tcPr>
            <w:tcW w:w="4621" w:type="dxa"/>
          </w:tcPr>
          <w:p w14:paraId="58CC66F7" w14:textId="77777777" w:rsidR="00936AF9" w:rsidRDefault="00936AF9" w:rsidP="00936AF9">
            <w:r>
              <w:t>0.13</w:t>
            </w:r>
          </w:p>
        </w:tc>
      </w:tr>
      <w:tr w:rsidR="00936AF9" w14:paraId="75C17F71" w14:textId="77777777" w:rsidTr="00936AF9">
        <w:tc>
          <w:tcPr>
            <w:tcW w:w="4621" w:type="dxa"/>
          </w:tcPr>
          <w:p w14:paraId="200E2CBA" w14:textId="77777777" w:rsidR="00936AF9" w:rsidRDefault="00936AF9" w:rsidP="00936AF9">
            <w:r>
              <w:t>Positional error of lighthouse</w:t>
            </w:r>
          </w:p>
        </w:tc>
        <w:tc>
          <w:tcPr>
            <w:tcW w:w="4621" w:type="dxa"/>
          </w:tcPr>
          <w:p w14:paraId="5AD6993C" w14:textId="77777777" w:rsidR="00936AF9" w:rsidRDefault="00936AF9" w:rsidP="00936AF9">
            <w:r>
              <w:t>0.15</w:t>
            </w:r>
          </w:p>
        </w:tc>
      </w:tr>
      <w:tr w:rsidR="00936AF9" w14:paraId="2A02358D" w14:textId="77777777" w:rsidTr="00936AF9">
        <w:tc>
          <w:tcPr>
            <w:tcW w:w="4621" w:type="dxa"/>
          </w:tcPr>
          <w:p w14:paraId="1B42FA6E" w14:textId="77777777" w:rsidR="00936AF9" w:rsidRDefault="00936AF9" w:rsidP="00936AF9">
            <w:r>
              <w:t>Positional error of ship</w:t>
            </w:r>
          </w:p>
        </w:tc>
        <w:tc>
          <w:tcPr>
            <w:tcW w:w="4621" w:type="dxa"/>
          </w:tcPr>
          <w:p w14:paraId="738E027C" w14:textId="77777777" w:rsidR="00936AF9" w:rsidRDefault="00936AF9" w:rsidP="00936AF9">
            <w:r>
              <w:t>0.15</w:t>
            </w:r>
          </w:p>
        </w:tc>
      </w:tr>
    </w:tbl>
    <w:p w14:paraId="31CD2848" w14:textId="77777777" w:rsidR="00936AF9" w:rsidRDefault="00936AF9" w:rsidP="00936AF9"/>
    <w:p w14:paraId="268F25A1" w14:textId="77777777" w:rsidR="00936AF9" w:rsidRDefault="00936AF9" w:rsidP="00936AF9">
      <w:pPr>
        <w:ind w:left="720" w:firstLine="360"/>
      </w:pPr>
      <w:r>
        <w:rPr>
          <w:rFonts w:cs="Arial"/>
        </w:rPr>
        <w:t xml:space="preserve">Combined uncertainty = </w:t>
      </w:r>
      <w:proofErr w:type="gramStart"/>
      <w:r>
        <w:rPr>
          <w:rFonts w:cs="Arial"/>
        </w:rPr>
        <w:t>√</w:t>
      </w:r>
      <w:r>
        <w:t>(</w:t>
      </w:r>
      <w:proofErr w:type="gramEnd"/>
      <w:r>
        <w:t>0.25</w:t>
      </w:r>
      <w:r>
        <w:rPr>
          <w:vertAlign w:val="superscript"/>
        </w:rPr>
        <w:t>2</w:t>
      </w:r>
      <w:r>
        <w:t xml:space="preserve"> + 0.15</w:t>
      </w:r>
      <w:r>
        <w:rPr>
          <w:vertAlign w:val="superscript"/>
        </w:rPr>
        <w:t>2</w:t>
      </w:r>
      <w:r>
        <w:t xml:space="preserve"> + 0.15</w:t>
      </w:r>
      <w:r>
        <w:rPr>
          <w:vertAlign w:val="superscript"/>
        </w:rPr>
        <w:t>2</w:t>
      </w:r>
      <w:r>
        <w:t>+ 0.15</w:t>
      </w:r>
      <w:r>
        <w:rPr>
          <w:vertAlign w:val="superscript"/>
        </w:rPr>
        <w:t>2</w:t>
      </w:r>
      <w:r>
        <w:t>) = 0.35 degrees</w:t>
      </w:r>
    </w:p>
    <w:p w14:paraId="5CA3524D" w14:textId="77777777" w:rsidR="00936AF9" w:rsidRDefault="00936AF9" w:rsidP="00936AF9">
      <w:pPr>
        <w:ind w:left="720" w:firstLine="360"/>
      </w:pPr>
    </w:p>
    <w:p w14:paraId="00993263" w14:textId="77777777" w:rsidR="001A702A" w:rsidRPr="001A702A" w:rsidRDefault="00936AF9" w:rsidP="00936AF9">
      <w:pPr>
        <w:pStyle w:val="BodyText"/>
        <w:rPr>
          <w:lang w:eastAsia="de-DE"/>
        </w:rPr>
      </w:pPr>
      <w:r>
        <w:t xml:space="preserve">However, each uncertainty contribution should be considered carefully for each station and each sector. When using an electronic chart and positioning by DGNSS, the greater the distance between light and vessel, the more accurate the bearing and consequently the lower the angular uncertainty. This increased accuracy is offset by the ability to observe a change of colour in a light when it is much smaller in the eye (smaller </w:t>
      </w:r>
      <w:proofErr w:type="spellStart"/>
      <w:r>
        <w:t>subtense</w:t>
      </w:r>
      <w:proofErr w:type="spellEnd"/>
      <w:r>
        <w:t xml:space="preserve"> angle) and much dimmer. In the case of white/green boundaries, there is potential for colour confusion at low levels of observer illuminance, particularly for flashing lights. At greater distances of observation therefore, the change from white to green, or vice versa, might not be easily distinguishable.</w:t>
      </w:r>
    </w:p>
    <w:p w14:paraId="102EAE59" w14:textId="77777777" w:rsidR="00A446C9" w:rsidRDefault="00A446C9" w:rsidP="00A446C9">
      <w:pPr>
        <w:pStyle w:val="Heading1"/>
      </w:pPr>
      <w:r>
        <w:t>Discussion</w:t>
      </w:r>
    </w:p>
    <w:p w14:paraId="69E35084" w14:textId="77777777" w:rsidR="00465D46" w:rsidRPr="00465D46" w:rsidRDefault="007233B7" w:rsidP="00465D46">
      <w:pPr>
        <w:pStyle w:val="BodyText"/>
        <w:rPr>
          <w:lang w:eastAsia="de-DE"/>
        </w:rPr>
      </w:pPr>
      <w:r>
        <w:rPr>
          <w:lang w:eastAsia="de-DE"/>
        </w:rPr>
        <w:t>The text in section 2 may be better as an appendix to the guideline, but it does fit in section 5.4</w:t>
      </w:r>
    </w:p>
    <w:p w14:paraId="5094C888" w14:textId="77777777" w:rsidR="00180DDA" w:rsidRDefault="00180DDA" w:rsidP="00A446C9">
      <w:pPr>
        <w:pStyle w:val="Heading1"/>
      </w:pPr>
      <w:r>
        <w:t>References</w:t>
      </w:r>
    </w:p>
    <w:p w14:paraId="76DDF334" w14:textId="77777777" w:rsidR="00180DDA" w:rsidRDefault="00103226" w:rsidP="00180DDA">
      <w:pPr>
        <w:pStyle w:val="References"/>
      </w:pPr>
      <w:r>
        <w:t>GLA R&amp;RNAV Report RPT-01-IT-10.</w:t>
      </w:r>
    </w:p>
    <w:p w14:paraId="3BC7FE03" w14:textId="77777777" w:rsidR="00A446C9" w:rsidRDefault="00A446C9" w:rsidP="00A446C9">
      <w:pPr>
        <w:pStyle w:val="Heading1"/>
      </w:pPr>
      <w:r>
        <w:t>Action requested of the Committee</w:t>
      </w:r>
    </w:p>
    <w:p w14:paraId="02689721" w14:textId="77777777" w:rsidR="00F25BF4" w:rsidRDefault="00F25BF4" w:rsidP="00A446C9">
      <w:pPr>
        <w:pStyle w:val="BodyText"/>
      </w:pPr>
      <w:r>
        <w:t>The Committee is requested to:</w:t>
      </w:r>
      <w:r w:rsidRPr="00F25BF4">
        <w:t xml:space="preserve"> </w:t>
      </w:r>
    </w:p>
    <w:p w14:paraId="017A7EE5" w14:textId="77777777" w:rsidR="00F25BF4" w:rsidRDefault="00465D46" w:rsidP="00F25BF4">
      <w:pPr>
        <w:pStyle w:val="List1"/>
      </w:pPr>
      <w:r>
        <w:t>Review and comment on the text in section 2.</w:t>
      </w:r>
    </w:p>
    <w:sectPr w:rsidR="00F25BF4" w:rsidSect="0082480E">
      <w:headerReference w:type="even" r:id="rId37"/>
      <w:headerReference w:type="default" r:id="rId38"/>
      <w:footerReference w:type="even" r:id="rId39"/>
      <w:footerReference w:type="default" r:id="rId40"/>
      <w:headerReference w:type="first" r:id="rId41"/>
      <w:footerReference w:type="first" r:id="rId42"/>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AAA355" w14:textId="77777777" w:rsidR="00541E43" w:rsidRDefault="00541E43" w:rsidP="00362CD9">
      <w:r>
        <w:separator/>
      </w:r>
    </w:p>
  </w:endnote>
  <w:endnote w:type="continuationSeparator" w:id="0">
    <w:p w14:paraId="7802C6C0" w14:textId="77777777" w:rsidR="00541E43" w:rsidRDefault="00541E43"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Bold">
    <w:panose1 w:val="020B07040202020202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15881F" w14:textId="77777777" w:rsidR="00B035C7" w:rsidRDefault="00B035C7">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92C240" w14:textId="77777777" w:rsidR="00B035C7" w:rsidRDefault="00B035C7">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C5BD2B" w14:textId="77777777" w:rsidR="00B035C7" w:rsidRDefault="00B035C7">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5CA59E" w14:textId="77777777" w:rsidR="00541E43" w:rsidRDefault="00541E43" w:rsidP="00362CD9">
      <w:r>
        <w:separator/>
      </w:r>
    </w:p>
  </w:footnote>
  <w:footnote w:type="continuationSeparator" w:id="0">
    <w:p w14:paraId="287E612D" w14:textId="77777777" w:rsidR="00541E43" w:rsidRDefault="00541E43" w:rsidP="00362CD9">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9DEDE8" w14:textId="77777777" w:rsidR="00B035C7" w:rsidRDefault="00B035C7">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7023F5" w14:textId="3A8CC513" w:rsidR="00B52BBF" w:rsidRDefault="00B52BBF">
    <w:pPr>
      <w:pStyle w:val="Header"/>
    </w:pPr>
    <w:r>
      <w:tab/>
    </w:r>
    <w:r w:rsidR="00B035C7">
      <w:tab/>
    </w:r>
    <w:r w:rsidR="00B035C7">
      <w:t>EEP18/11/14</w:t>
    </w:r>
    <w:bookmarkStart w:id="23" w:name="_GoBack"/>
    <w:bookmarkEnd w:id="23"/>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3EBEE8" w14:textId="77777777" w:rsidR="00B035C7" w:rsidRDefault="00B035C7">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3A21C71"/>
    <w:multiLevelType w:val="hybridMultilevel"/>
    <w:tmpl w:val="AEFCAD28"/>
    <w:lvl w:ilvl="0" w:tplc="81E84170">
      <w:start w:val="1"/>
      <w:numFmt w:val="decimal"/>
      <w:pStyle w:val="Appendix"/>
      <w:lvlText w:val="APPENDIX %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4540511"/>
    <w:multiLevelType w:val="hybridMultilevel"/>
    <w:tmpl w:val="3CB8ECFE"/>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6">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29F55E61"/>
    <w:multiLevelType w:val="hybridMultilevel"/>
    <w:tmpl w:val="4606DE48"/>
    <w:lvl w:ilvl="0" w:tplc="08090001">
      <w:start w:val="1"/>
      <w:numFmt w:val="bullet"/>
      <w:lvlText w:val=""/>
      <w:lvlJc w:val="left"/>
      <w:pPr>
        <w:tabs>
          <w:tab w:val="num" w:pos="360"/>
        </w:tabs>
        <w:ind w:left="360" w:hanging="360"/>
      </w:pPr>
      <w:rPr>
        <w:rFonts w:ascii="Symbol" w:hAnsi="Symbol" w:hint="default"/>
      </w:rPr>
    </w:lvl>
    <w:lvl w:ilvl="1" w:tplc="08090003">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2">
    <w:nsid w:val="2B0800A3"/>
    <w:multiLevelType w:val="hybridMultilevel"/>
    <w:tmpl w:val="22FCAA96"/>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3">
    <w:nsid w:val="2E826201"/>
    <w:multiLevelType w:val="hybridMultilevel"/>
    <w:tmpl w:val="F86C0F32"/>
    <w:lvl w:ilvl="0" w:tplc="08090001">
      <w:start w:val="1"/>
      <w:numFmt w:val="bullet"/>
      <w:lvlText w:val=""/>
      <w:lvlJc w:val="left"/>
      <w:pPr>
        <w:tabs>
          <w:tab w:val="num" w:pos="360"/>
        </w:tabs>
        <w:ind w:left="360" w:hanging="360"/>
      </w:pPr>
      <w:rPr>
        <w:rFonts w:ascii="Symbol" w:hAnsi="Symbol" w:hint="default"/>
      </w:rPr>
    </w:lvl>
    <w:lvl w:ilvl="1" w:tplc="08090003">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4">
    <w:nsid w:val="2FD4258A"/>
    <w:multiLevelType w:val="hybridMultilevel"/>
    <w:tmpl w:val="8A86CDAA"/>
    <w:lvl w:ilvl="0" w:tplc="08090001">
      <w:start w:val="1"/>
      <w:numFmt w:val="bullet"/>
      <w:lvlText w:val=""/>
      <w:lvlJc w:val="left"/>
      <w:pPr>
        <w:tabs>
          <w:tab w:val="num" w:pos="360"/>
        </w:tabs>
        <w:ind w:left="360" w:hanging="360"/>
      </w:pPr>
      <w:rPr>
        <w:rFonts w:ascii="Symbol" w:hAnsi="Symbol" w:hint="default"/>
      </w:rPr>
    </w:lvl>
    <w:lvl w:ilvl="1" w:tplc="31666950">
      <w:start w:val="1"/>
      <w:numFmt w:val="bullet"/>
      <w:lvlText w:val=""/>
      <w:lvlJc w:val="left"/>
      <w:pPr>
        <w:tabs>
          <w:tab w:val="num" w:pos="1080"/>
        </w:tabs>
        <w:ind w:left="1080" w:hanging="360"/>
      </w:pPr>
      <w:rPr>
        <w:rFonts w:ascii="Wingdings" w:hAnsi="Wingdings"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3A4946A0"/>
    <w:multiLevelType w:val="hybridMultilevel"/>
    <w:tmpl w:val="62E439DC"/>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8">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48CA4386"/>
    <w:multiLevelType w:val="hybridMultilevel"/>
    <w:tmpl w:val="9898AE04"/>
    <w:lvl w:ilvl="0" w:tplc="31666950">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3">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4">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6">
    <w:nsid w:val="55973BA3"/>
    <w:multiLevelType w:val="hybridMultilevel"/>
    <w:tmpl w:val="5D8C3074"/>
    <w:lvl w:ilvl="0" w:tplc="31666950">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8">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8"/>
  </w:num>
  <w:num w:numId="4">
    <w:abstractNumId w:val="28"/>
  </w:num>
  <w:num w:numId="5">
    <w:abstractNumId w:val="20"/>
  </w:num>
  <w:num w:numId="6">
    <w:abstractNumId w:val="4"/>
  </w:num>
  <w:num w:numId="7">
    <w:abstractNumId w:val="30"/>
  </w:num>
  <w:num w:numId="8">
    <w:abstractNumId w:val="15"/>
  </w:num>
  <w:num w:numId="9">
    <w:abstractNumId w:val="9"/>
  </w:num>
  <w:num w:numId="10">
    <w:abstractNumId w:val="23"/>
  </w:num>
  <w:num w:numId="11">
    <w:abstractNumId w:val="22"/>
  </w:num>
  <w:num w:numId="12">
    <w:abstractNumId w:val="19"/>
  </w:num>
  <w:num w:numId="13">
    <w:abstractNumId w:val="29"/>
  </w:num>
  <w:num w:numId="14">
    <w:abstractNumId w:val="6"/>
  </w:num>
  <w:num w:numId="15">
    <w:abstractNumId w:val="31"/>
  </w:num>
  <w:num w:numId="16">
    <w:abstractNumId w:val="18"/>
  </w:num>
  <w:num w:numId="17">
    <w:abstractNumId w:val="7"/>
  </w:num>
  <w:num w:numId="18">
    <w:abstractNumId w:val="25"/>
  </w:num>
  <w:num w:numId="19">
    <w:abstractNumId w:val="18"/>
  </w:num>
  <w:num w:numId="20">
    <w:abstractNumId w:val="18"/>
  </w:num>
  <w:num w:numId="21">
    <w:abstractNumId w:val="18"/>
  </w:num>
  <w:num w:numId="22">
    <w:abstractNumId w:val="18"/>
  </w:num>
  <w:num w:numId="23">
    <w:abstractNumId w:val="27"/>
  </w:num>
  <w:num w:numId="24">
    <w:abstractNumId w:val="3"/>
  </w:num>
  <w:num w:numId="25">
    <w:abstractNumId w:val="3"/>
  </w:num>
  <w:num w:numId="26">
    <w:abstractNumId w:val="3"/>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24"/>
  </w:num>
  <w:num w:numId="34">
    <w:abstractNumId w:val="24"/>
  </w:num>
  <w:num w:numId="35">
    <w:abstractNumId w:val="24"/>
  </w:num>
  <w:num w:numId="36">
    <w:abstractNumId w:val="17"/>
  </w:num>
  <w:num w:numId="37">
    <w:abstractNumId w:val="6"/>
  </w:num>
  <w:num w:numId="38">
    <w:abstractNumId w:val="19"/>
  </w:num>
  <w:num w:numId="3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6"/>
  </w:num>
  <w:num w:numId="44">
    <w:abstractNumId w:val="5"/>
  </w:num>
  <w:num w:numId="45">
    <w:abstractNumId w:val="12"/>
  </w:num>
  <w:num w:numId="46">
    <w:abstractNumId w:val="14"/>
  </w:num>
  <w:num w:numId="47">
    <w:abstractNumId w:val="13"/>
  </w:num>
  <w:num w:numId="48">
    <w:abstractNumId w:val="11"/>
  </w:num>
  <w:num w:numId="49">
    <w:abstractNumId w:val="26"/>
  </w:num>
  <w:num w:numId="50">
    <w:abstractNumId w:val="2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proofState w:spelling="clean" w:grammar="clean"/>
  <w:attachedTemplate r:id="rId1"/>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
  <w:rsids>
    <w:rsidRoot w:val="00990B2C"/>
    <w:rsid w:val="000005D3"/>
    <w:rsid w:val="0004700E"/>
    <w:rsid w:val="00070C13"/>
    <w:rsid w:val="00084F33"/>
    <w:rsid w:val="000C1B3E"/>
    <w:rsid w:val="000C79D4"/>
    <w:rsid w:val="00103226"/>
    <w:rsid w:val="00125C57"/>
    <w:rsid w:val="00177F4D"/>
    <w:rsid w:val="00180DDA"/>
    <w:rsid w:val="001A702A"/>
    <w:rsid w:val="001B2A2D"/>
    <w:rsid w:val="001B737D"/>
    <w:rsid w:val="001C44A3"/>
    <w:rsid w:val="001F528A"/>
    <w:rsid w:val="001F704E"/>
    <w:rsid w:val="002125B0"/>
    <w:rsid w:val="00243228"/>
    <w:rsid w:val="00251483"/>
    <w:rsid w:val="00264305"/>
    <w:rsid w:val="002A0346"/>
    <w:rsid w:val="002A4487"/>
    <w:rsid w:val="002D3E8B"/>
    <w:rsid w:val="002D4575"/>
    <w:rsid w:val="002D5C0C"/>
    <w:rsid w:val="002E6B74"/>
    <w:rsid w:val="00343FF1"/>
    <w:rsid w:val="00356CD0"/>
    <w:rsid w:val="00362CD9"/>
    <w:rsid w:val="00380DAF"/>
    <w:rsid w:val="003B28F5"/>
    <w:rsid w:val="003B7B7D"/>
    <w:rsid w:val="003C7A2A"/>
    <w:rsid w:val="003D69D0"/>
    <w:rsid w:val="003F2918"/>
    <w:rsid w:val="003F430E"/>
    <w:rsid w:val="00451753"/>
    <w:rsid w:val="00465D46"/>
    <w:rsid w:val="004661AD"/>
    <w:rsid w:val="004D1D85"/>
    <w:rsid w:val="00501BE2"/>
    <w:rsid w:val="005107EB"/>
    <w:rsid w:val="00521345"/>
    <w:rsid w:val="00526DF0"/>
    <w:rsid w:val="00541E43"/>
    <w:rsid w:val="00545CC4"/>
    <w:rsid w:val="00551FFF"/>
    <w:rsid w:val="0057198B"/>
    <w:rsid w:val="00575190"/>
    <w:rsid w:val="005A1049"/>
    <w:rsid w:val="005B32A3"/>
    <w:rsid w:val="005C566C"/>
    <w:rsid w:val="005C7E69"/>
    <w:rsid w:val="005E262D"/>
    <w:rsid w:val="005E6C93"/>
    <w:rsid w:val="005F7E20"/>
    <w:rsid w:val="00634A4B"/>
    <w:rsid w:val="00655FD8"/>
    <w:rsid w:val="006652C3"/>
    <w:rsid w:val="00691FD0"/>
    <w:rsid w:val="0069337D"/>
    <w:rsid w:val="006C5948"/>
    <w:rsid w:val="006F2A74"/>
    <w:rsid w:val="007118F5"/>
    <w:rsid w:val="00712AA4"/>
    <w:rsid w:val="00721AA1"/>
    <w:rsid w:val="007233B7"/>
    <w:rsid w:val="007547F8"/>
    <w:rsid w:val="007628E2"/>
    <w:rsid w:val="007644F3"/>
    <w:rsid w:val="00765622"/>
    <w:rsid w:val="00783FEA"/>
    <w:rsid w:val="0082480E"/>
    <w:rsid w:val="00851373"/>
    <w:rsid w:val="00851BA6"/>
    <w:rsid w:val="0085654D"/>
    <w:rsid w:val="00861160"/>
    <w:rsid w:val="008A4653"/>
    <w:rsid w:val="008A50CC"/>
    <w:rsid w:val="008D1694"/>
    <w:rsid w:val="008D79CB"/>
    <w:rsid w:val="008F07BC"/>
    <w:rsid w:val="00936AF9"/>
    <w:rsid w:val="00943E9C"/>
    <w:rsid w:val="00953F4D"/>
    <w:rsid w:val="00960BB8"/>
    <w:rsid w:val="00964F5C"/>
    <w:rsid w:val="00973FD1"/>
    <w:rsid w:val="00990B2C"/>
    <w:rsid w:val="00992164"/>
    <w:rsid w:val="00A446C9"/>
    <w:rsid w:val="00A635D6"/>
    <w:rsid w:val="00A8553A"/>
    <w:rsid w:val="00A93AED"/>
    <w:rsid w:val="00AE1A9C"/>
    <w:rsid w:val="00B035C7"/>
    <w:rsid w:val="00B226F2"/>
    <w:rsid w:val="00B274DF"/>
    <w:rsid w:val="00B52BBF"/>
    <w:rsid w:val="00B56BDF"/>
    <w:rsid w:val="00B85CD6"/>
    <w:rsid w:val="00B90A27"/>
    <w:rsid w:val="00B9554D"/>
    <w:rsid w:val="00BB2B9F"/>
    <w:rsid w:val="00BD3CB8"/>
    <w:rsid w:val="00BF4DCE"/>
    <w:rsid w:val="00C05CE5"/>
    <w:rsid w:val="00C16E29"/>
    <w:rsid w:val="00C6171E"/>
    <w:rsid w:val="00CA6F2C"/>
    <w:rsid w:val="00CF1871"/>
    <w:rsid w:val="00D1133E"/>
    <w:rsid w:val="00D17A34"/>
    <w:rsid w:val="00D26628"/>
    <w:rsid w:val="00D332B3"/>
    <w:rsid w:val="00D92B45"/>
    <w:rsid w:val="00D95962"/>
    <w:rsid w:val="00DC389B"/>
    <w:rsid w:val="00E00BE9"/>
    <w:rsid w:val="00E22A11"/>
    <w:rsid w:val="00E55927"/>
    <w:rsid w:val="00E912A6"/>
    <w:rsid w:val="00EA4844"/>
    <w:rsid w:val="00EA4D9C"/>
    <w:rsid w:val="00EB75EE"/>
    <w:rsid w:val="00EE4C1D"/>
    <w:rsid w:val="00F25BF4"/>
    <w:rsid w:val="00F267DB"/>
    <w:rsid w:val="00F46F6F"/>
    <w:rsid w:val="00F60608"/>
    <w:rsid w:val="00F62217"/>
    <w:rsid w:val="00FB17A9"/>
    <w:rsid w:val="00FB6F75"/>
    <w:rsid w:val="00FC0EB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ECC8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37"/>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37"/>
      </w:numPr>
      <w:spacing w:before="120" w:after="120"/>
      <w:outlineLvl w:val="1"/>
    </w:pPr>
    <w:rPr>
      <w:b/>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lang w:eastAsia="de-DE"/>
    </w:rPr>
  </w:style>
  <w:style w:type="character" w:customStyle="1" w:styleId="Heading2Char">
    <w:name w:val="Heading 2 Char"/>
    <w:link w:val="Heading2"/>
    <w:rsid w:val="00E00BE9"/>
    <w:rPr>
      <w:rFonts w:ascii="Arial" w:hAnsi="Arial" w:cs="Calibri"/>
      <w:b/>
      <w:lang w:eastAsia="en-GB"/>
    </w:rPr>
  </w:style>
  <w:style w:type="paragraph" w:customStyle="1" w:styleId="Annex">
    <w:name w:val="Annex"/>
    <w:basedOn w:val="Heading1"/>
    <w:next w:val="Normal"/>
    <w:rsid w:val="008D1694"/>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AppendixHeading1"/>
    <w:qFormat/>
    <w:rsid w:val="000005D3"/>
    <w:pPr>
      <w:numPr>
        <w:numId w:val="41"/>
      </w:numPr>
      <w:tabs>
        <w:tab w:val="left" w:pos="1985"/>
      </w:tabs>
      <w:spacing w:before="120" w:after="240"/>
      <w:ind w:left="1985" w:hanging="1985"/>
    </w:pPr>
    <w:rPr>
      <w:rFonts w:eastAsia="Times New Roman" w:cs="Times New Roman"/>
      <w:b/>
      <w:sz w:val="24"/>
      <w:szCs w:val="28"/>
      <w:lang w:eastAsia="en-US"/>
    </w:rPr>
  </w:style>
  <w:style w:type="paragraph" w:styleId="BalloonText">
    <w:name w:val="Balloon Text"/>
    <w:basedOn w:val="Normal"/>
    <w:link w:val="BalloonTextChar"/>
    <w:uiPriority w:val="99"/>
    <w:semiHidden/>
    <w:unhideWhenUsed/>
    <w:rsid w:val="00451753"/>
    <w:rPr>
      <w:rFonts w:ascii="Tahoma" w:hAnsi="Tahoma" w:cs="Tahoma"/>
      <w:sz w:val="16"/>
      <w:szCs w:val="16"/>
    </w:rPr>
  </w:style>
  <w:style w:type="character" w:customStyle="1" w:styleId="BalloonTextChar">
    <w:name w:val="Balloon Text Char"/>
    <w:basedOn w:val="DefaultParagraphFont"/>
    <w:link w:val="BalloonText"/>
    <w:uiPriority w:val="99"/>
    <w:semiHidden/>
    <w:rsid w:val="00451753"/>
    <w:rPr>
      <w:rFonts w:ascii="Tahoma" w:hAnsi="Tahoma" w:cs="Tahoma"/>
      <w:sz w:val="16"/>
      <w:szCs w:val="16"/>
    </w:rPr>
  </w:style>
  <w:style w:type="paragraph" w:styleId="Caption">
    <w:name w:val="caption"/>
    <w:basedOn w:val="Normal"/>
    <w:next w:val="Normal"/>
    <w:qFormat/>
    <w:rsid w:val="00936AF9"/>
    <w:pPr>
      <w:spacing w:before="240" w:after="240"/>
      <w:jc w:val="center"/>
    </w:pPr>
    <w:rPr>
      <w:rFonts w:eastAsia="Times New Roman" w:cs="Times New Roman"/>
      <w:b/>
      <w:bCs/>
      <w:szCs w:val="20"/>
      <w:lang w:eastAsia="en-US"/>
    </w:rPr>
  </w:style>
  <w:style w:type="paragraph" w:customStyle="1" w:styleId="Sub-TItle">
    <w:name w:val="Sub-TItle"/>
    <w:basedOn w:val="Normal"/>
    <w:next w:val="Normal"/>
    <w:rsid w:val="00936AF9"/>
    <w:pPr>
      <w:spacing w:before="120" w:after="120"/>
      <w:jc w:val="both"/>
    </w:pPr>
    <w:rPr>
      <w:rFonts w:eastAsia="Times New Roman" w:cs="Times New Roman"/>
      <w:b/>
      <w:sz w:val="32"/>
      <w:szCs w:val="21"/>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Heading1Char">
    <w:name w:val="ArticleSection"/>
    <w:pPr>
      <w:numPr>
        <w:numId w:val="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3.jpeg"/><Relationship Id="rId21" Type="http://schemas.openxmlformats.org/officeDocument/2006/relationships/image" Target="media/image14.jpeg"/><Relationship Id="rId22" Type="http://schemas.openxmlformats.org/officeDocument/2006/relationships/image" Target="media/image15.jpeg"/><Relationship Id="rId23" Type="http://schemas.openxmlformats.org/officeDocument/2006/relationships/image" Target="media/image16.jpeg"/><Relationship Id="rId24" Type="http://schemas.openxmlformats.org/officeDocument/2006/relationships/image" Target="media/image17.jpeg"/><Relationship Id="rId25" Type="http://schemas.openxmlformats.org/officeDocument/2006/relationships/image" Target="media/image18.jpe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jpeg"/><Relationship Id="rId29" Type="http://schemas.openxmlformats.org/officeDocument/2006/relationships/image" Target="media/image22.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jpeg"/><Relationship Id="rId31" Type="http://schemas.openxmlformats.org/officeDocument/2006/relationships/image" Target="media/image24.wmf"/><Relationship Id="rId32" Type="http://schemas.openxmlformats.org/officeDocument/2006/relationships/oleObject" Target="embeddings/Microsoft_Equation1.bin"/><Relationship Id="rId9" Type="http://schemas.openxmlformats.org/officeDocument/2006/relationships/image" Target="media/image2.emf"/><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33" Type="http://schemas.openxmlformats.org/officeDocument/2006/relationships/image" Target="media/image25.wmf"/><Relationship Id="rId34" Type="http://schemas.openxmlformats.org/officeDocument/2006/relationships/oleObject" Target="embeddings/Microsoft_Equation2.bin"/><Relationship Id="rId35" Type="http://schemas.openxmlformats.org/officeDocument/2006/relationships/image" Target="media/image26.wmf"/><Relationship Id="rId36" Type="http://schemas.openxmlformats.org/officeDocument/2006/relationships/oleObject" Target="embeddings/Microsoft_Equation3.bin"/><Relationship Id="rId10" Type="http://schemas.openxmlformats.org/officeDocument/2006/relationships/image" Target="media/image3.emf"/><Relationship Id="rId11" Type="http://schemas.openxmlformats.org/officeDocument/2006/relationships/image" Target="media/image4.emf"/><Relationship Id="rId12" Type="http://schemas.openxmlformats.org/officeDocument/2006/relationships/image" Target="media/image5.emf"/><Relationship Id="rId13" Type="http://schemas.openxmlformats.org/officeDocument/2006/relationships/image" Target="media/image6.emf"/><Relationship Id="rId14" Type="http://schemas.openxmlformats.org/officeDocument/2006/relationships/image" Target="media/image7.emf"/><Relationship Id="rId15" Type="http://schemas.openxmlformats.org/officeDocument/2006/relationships/image" Target="media/image8.pn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image" Target="media/image12.jpeg"/><Relationship Id="rId37" Type="http://schemas.openxmlformats.org/officeDocument/2006/relationships/header" Target="header1.xml"/><Relationship Id="rId38" Type="http://schemas.openxmlformats.org/officeDocument/2006/relationships/header" Target="header2.xml"/><Relationship Id="rId39" Type="http://schemas.openxmlformats.org/officeDocument/2006/relationships/footer" Target="footer1.xml"/><Relationship Id="rId40" Type="http://schemas.openxmlformats.org/officeDocument/2006/relationships/footer" Target="footer2.xml"/><Relationship Id="rId41" Type="http://schemas.openxmlformats.org/officeDocument/2006/relationships/header" Target="header3.xml"/><Relationship Id="rId42" Type="http://schemas.openxmlformats.org/officeDocument/2006/relationships/footer" Target="footer3.xml"/><Relationship Id="rId43" Type="http://schemas.openxmlformats.org/officeDocument/2006/relationships/fontTable" Target="fontTable.xml"/><Relationship Id="rId4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lcolmN\AppData\Local\Microsoft\Windows\Temporary%20Internet%20Files\Content.Outlook\2SVMASKE\Committee%20input%20paper_Jun1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\Users\MalcolmN\AppData\Local\Microsoft\Windows\Temporary Internet Files\Content.Outlook\2SVMASKE\Committee input paper_Jun11.dotx</Template>
  <TotalTime>25</TotalTime>
  <Pages>17</Pages>
  <Words>4086</Words>
  <Characters>23296</Characters>
  <Application>Microsoft Macintosh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
    </vt:vector>
  </TitlesOfParts>
  <Company>Trinity House</Company>
  <LinksUpToDate>false</LinksUpToDate>
  <CharactersWithSpaces>27328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malcolmn</dc:creator>
  <cp:lastModifiedBy>Mike Hadley (Home)</cp:lastModifiedBy>
  <cp:revision>4</cp:revision>
  <cp:lastPrinted>2012-02-20T10:22:00Z</cp:lastPrinted>
  <dcterms:created xsi:type="dcterms:W3CDTF">2012-02-20T12:11:00Z</dcterms:created>
  <dcterms:modified xsi:type="dcterms:W3CDTF">2012-04-06T11:40:00Z</dcterms:modified>
</cp:coreProperties>
</file>